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right" w:pos="9026" w:leader="none"/>
          <w:tab w:val="right" w:pos="9072" w:leader="none"/>
        </w:tabs>
        <w:jc w:val="end"/>
        <w:rPr>
          <w:rFonts w:ascii="Marianne" w:hAnsi="Marianne" w:eastAsia="Cambria" w:cs="Arial"/>
          <w:b/>
          <w:bCs/>
          <w:sz w:val="24"/>
        </w:rPr>
      </w:pPr>
      <w:r>
        <w:rPr>
          <w:rFonts w:eastAsia="Cambria" w:cs="Arial" w:ascii="Marianne" w:hAnsi="Marianne"/>
          <w:b/>
          <w:bCs/>
          <w:sz w:val="24"/>
        </w:rPr>
        <w:drawing>
          <wp:anchor behindDoc="0" distT="0" distB="0" distL="0" distR="0" simplePos="0" locked="0" layoutInCell="0" allowOverlap="1" relativeHeight="4">
            <wp:simplePos x="0" y="0"/>
            <wp:positionH relativeFrom="column">
              <wp:posOffset>5381625</wp:posOffset>
            </wp:positionH>
            <wp:positionV relativeFrom="paragraph">
              <wp:posOffset>-46990</wp:posOffset>
            </wp:positionV>
            <wp:extent cx="729615" cy="729615"/>
            <wp:effectExtent l="0" t="0" r="0" b="0"/>
            <wp:wrapSquare wrapText="largest"/>
            <wp:docPr id="1"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7"/>
                    <pic:cNvPicPr>
                      <a:picLocks noChangeAspect="1" noChangeArrowheads="1"/>
                    </pic:cNvPicPr>
                  </pic:nvPicPr>
                  <pic:blipFill>
                    <a:blip r:embed="rId2"/>
                    <a:stretch>
                      <a:fillRect/>
                    </a:stretch>
                  </pic:blipFill>
                  <pic:spPr bwMode="auto">
                    <a:xfrm>
                      <a:off x="0" y="0"/>
                      <a:ext cx="729615" cy="729615"/>
                    </a:xfrm>
                    <a:prstGeom prst="rect">
                      <a:avLst/>
                    </a:prstGeom>
                    <a:noFill/>
                  </pic:spPr>
                </pic:pic>
              </a:graphicData>
            </a:graphic>
          </wp:anchor>
        </w:drawing>
      </w:r>
    </w:p>
    <w:p>
      <w:pPr>
        <w:pStyle w:val="Normal"/>
        <w:tabs>
          <w:tab w:val="clear" w:pos="709"/>
          <w:tab w:val="right" w:pos="9026" w:leader="none"/>
          <w:tab w:val="right" w:pos="9072" w:leader="none"/>
        </w:tabs>
        <w:spacing w:before="0" w:after="60"/>
        <w:jc w:val="end"/>
        <w:rPr>
          <w:rFonts w:ascii="Marianne" w:hAnsi="Marianne" w:eastAsia="Cambria" w:cs="Arial"/>
          <w:b/>
          <w:bCs/>
          <w:sz w:val="24"/>
        </w:rPr>
      </w:pPr>
      <w:r>
        <w:rPr>
          <w:rFonts w:eastAsia="Cambria" w:cs="Arial" w:ascii="Marianne" w:hAnsi="Marianne"/>
          <w:b/>
          <w:bCs/>
          <w:sz w:val="24"/>
        </w:rPr>
        <w:drawing>
          <wp:anchor behindDoc="0" distT="0" distB="0" distL="0" distR="0" simplePos="0" locked="0" layoutInCell="0" allowOverlap="1" relativeHeight="5">
            <wp:simplePos x="0" y="0"/>
            <wp:positionH relativeFrom="column">
              <wp:posOffset>38100</wp:posOffset>
            </wp:positionH>
            <wp:positionV relativeFrom="paragraph">
              <wp:posOffset>-15875</wp:posOffset>
            </wp:positionV>
            <wp:extent cx="1521460" cy="999490"/>
            <wp:effectExtent l="0" t="0" r="0" b="0"/>
            <wp:wrapTopAndBottom/>
            <wp:docPr id="2" name="Image7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 Copie 1"/>
                    <pic:cNvPicPr>
                      <a:picLocks noChangeAspect="1" noChangeArrowheads="1"/>
                    </pic:cNvPicPr>
                  </pic:nvPicPr>
                  <pic:blipFill>
                    <a:blip r:embed="rId3"/>
                    <a:stretch>
                      <a:fillRect/>
                    </a:stretch>
                  </pic:blipFill>
                  <pic:spPr bwMode="auto">
                    <a:xfrm>
                      <a:off x="0" y="0"/>
                      <a:ext cx="1521460" cy="999490"/>
                    </a:xfrm>
                    <a:prstGeom prst="rect">
                      <a:avLst/>
                    </a:prstGeom>
                    <a:noFill/>
                  </pic:spPr>
                </pic:pic>
              </a:graphicData>
            </a:graphic>
          </wp:anchor>
        </w:drawing>
      </w:r>
      <w:r>
        <mc:AlternateContent>
          <mc:Choice Requires="wps">
            <w:drawing>
              <wp:anchor behindDoc="0" distT="0" distB="0" distL="0" distR="0" simplePos="0" locked="0" layoutInCell="1" allowOverlap="1" relativeHeight="6">
                <wp:simplePos x="0" y="0"/>
                <wp:positionH relativeFrom="column">
                  <wp:posOffset>1433830</wp:posOffset>
                </wp:positionH>
                <wp:positionV relativeFrom="paragraph">
                  <wp:posOffset>727075</wp:posOffset>
                </wp:positionV>
                <wp:extent cx="4789170" cy="1539240"/>
                <wp:effectExtent l="0" t="0" r="0" b="0"/>
                <wp:wrapNone/>
                <wp:docPr id="3" name="Cadre de texte 4"/>
                <a:graphic xmlns:a="http://schemas.openxmlformats.org/drawingml/2006/main">
                  <a:graphicData uri="http://schemas.microsoft.com/office/word/2010/wordprocessingShape">
                    <wps:wsp>
                      <wps:cNvSpPr txBox="1"/>
                      <wps:spPr>
                        <a:xfrm>
                          <a:off x="0" y="0"/>
                          <a:ext cx="4789170" cy="1539240"/>
                        </a:xfrm>
                        <a:prstGeom prst="rect"/>
                        <a:solidFill>
                          <a:srgbClr val="FFFFFF"/>
                        </a:solidFill>
                      </wps:spPr>
                      <wps:txbx>
                        <w:txbxContent>
                          <w:p>
                            <w:pPr>
                              <w:pStyle w:val="Normal1"/>
                              <w:spacing w:before="0" w:after="0"/>
                              <w:jc w:val="start"/>
                              <w:rPr/>
                            </w:pPr>
                            <w:r>
                              <w:rPr>
                                <w:rStyle w:val="Policepardfaut"/>
                                <w:rFonts w:cs="Work Sans" w:ascii="Marianne" w:hAnsi="Marianne"/>
                                <w:b/>
                                <w:bCs/>
                                <w:sz w:val="24"/>
                              </w:rPr>
                              <w:t>Direction générale de la sécurité civile et de la gestion des crises</w:t>
                            </w:r>
                          </w:p>
                          <w:p>
                            <w:pPr>
                              <w:pStyle w:val="Normal1"/>
                              <w:spacing w:before="0" w:after="0"/>
                              <w:jc w:val="start"/>
                              <w:rPr/>
                            </w:pPr>
                            <w:r>
                              <w:rPr>
                                <w:rStyle w:val="Policepardfaut"/>
                                <w:rFonts w:cs="Work Sans" w:ascii="Marianne" w:hAnsi="Marianne"/>
                                <w:b/>
                                <w:bCs/>
                                <w:sz w:val="24"/>
                              </w:rPr>
                              <w:t>Unité d'instruction et d'intervention de la sécurité civile n°1</w:t>
                            </w:r>
                          </w:p>
                          <w:p>
                            <w:pPr>
                              <w:pStyle w:val="Normal1"/>
                              <w:spacing w:before="0" w:after="0"/>
                              <w:jc w:val="start"/>
                              <w:rPr/>
                            </w:pPr>
                            <w:r>
                              <w:rPr>
                                <w:rStyle w:val="Policepardfaut"/>
                                <w:rFonts w:cs="Work Sans" w:ascii="Marianne" w:hAnsi="Marianne"/>
                                <w:sz w:val="24"/>
                              </w:rPr>
                              <w:t>Quartier Sully</w:t>
                            </w:r>
                          </w:p>
                          <w:p>
                            <w:pPr>
                              <w:pStyle w:val="Normal1"/>
                              <w:spacing w:before="0" w:after="0"/>
                              <w:jc w:val="start"/>
                              <w:rPr/>
                            </w:pPr>
                            <w:r>
                              <w:rPr>
                                <w:rStyle w:val="Policepardfaut"/>
                                <w:rFonts w:cs="Work Sans" w:ascii="Marianne" w:hAnsi="Marianne"/>
                                <w:sz w:val="24"/>
                              </w:rPr>
                              <w:t>Rue du Château</w:t>
                            </w:r>
                          </w:p>
                          <w:p>
                            <w:pPr>
                              <w:pStyle w:val="Normal1"/>
                              <w:spacing w:before="0" w:after="0"/>
                              <w:jc w:val="start"/>
                              <w:rPr/>
                            </w:pPr>
                            <w:r>
                              <w:rPr>
                                <w:rStyle w:val="Policepardfaut"/>
                                <w:rFonts w:cs="Work Sans" w:ascii="Marianne" w:hAnsi="Marianne"/>
                                <w:sz w:val="24"/>
                              </w:rPr>
                              <w:t>28 400 Nogent-le Rotrou</w:t>
                            </w:r>
                          </w:p>
                        </w:txbxContent>
                      </wps:txbx>
                      <wps:bodyPr anchor="t" lIns="0" tIns="0" rIns="0" bIns="0">
                        <a:noAutofit/>
                      </wps:bodyPr>
                    </wps:wsp>
                  </a:graphicData>
                </a:graphic>
              </wp:anchor>
            </w:drawing>
          </mc:Choice>
          <mc:Fallback>
            <w:pict>
              <v:rect style="position:absolute;rotation:-0;width:377.1pt;height:121.2pt;mso-wrap-distance-left:0pt;mso-wrap-distance-right:0pt;mso-wrap-distance-top:0pt;mso-wrap-distance-bottom:0pt;margin-top:57.25pt;mso-position-vertical-relative:text;margin-left:112.9pt;mso-position-horizontal-relative:text">
                <v:textbox inset="0in,0in,0in,0in">
                  <w:txbxContent>
                    <w:p>
                      <w:pPr>
                        <w:pStyle w:val="Normal1"/>
                        <w:spacing w:before="0" w:after="0"/>
                        <w:jc w:val="start"/>
                        <w:rPr/>
                      </w:pPr>
                      <w:r>
                        <w:rPr>
                          <w:rStyle w:val="Policepardfaut"/>
                          <w:rFonts w:cs="Work Sans" w:ascii="Marianne" w:hAnsi="Marianne"/>
                          <w:b/>
                          <w:bCs/>
                          <w:sz w:val="24"/>
                        </w:rPr>
                        <w:t>Direction générale de la sécurité civile et de la gestion des crises</w:t>
                      </w:r>
                    </w:p>
                    <w:p>
                      <w:pPr>
                        <w:pStyle w:val="Normal1"/>
                        <w:spacing w:before="0" w:after="0"/>
                        <w:jc w:val="start"/>
                        <w:rPr/>
                      </w:pPr>
                      <w:r>
                        <w:rPr>
                          <w:rStyle w:val="Policepardfaut"/>
                          <w:rFonts w:cs="Work Sans" w:ascii="Marianne" w:hAnsi="Marianne"/>
                          <w:b/>
                          <w:bCs/>
                          <w:sz w:val="24"/>
                        </w:rPr>
                        <w:t>Unité d'instruction et d'intervention de la sécurité civile n°1</w:t>
                      </w:r>
                    </w:p>
                    <w:p>
                      <w:pPr>
                        <w:pStyle w:val="Normal1"/>
                        <w:spacing w:before="0" w:after="0"/>
                        <w:jc w:val="start"/>
                        <w:rPr/>
                      </w:pPr>
                      <w:r>
                        <w:rPr>
                          <w:rStyle w:val="Policepardfaut"/>
                          <w:rFonts w:cs="Work Sans" w:ascii="Marianne" w:hAnsi="Marianne"/>
                          <w:sz w:val="24"/>
                        </w:rPr>
                        <w:t>Quartier Sully</w:t>
                      </w:r>
                    </w:p>
                    <w:p>
                      <w:pPr>
                        <w:pStyle w:val="Normal1"/>
                        <w:spacing w:before="0" w:after="0"/>
                        <w:jc w:val="start"/>
                        <w:rPr/>
                      </w:pPr>
                      <w:r>
                        <w:rPr>
                          <w:rStyle w:val="Policepardfaut"/>
                          <w:rFonts w:cs="Work Sans" w:ascii="Marianne" w:hAnsi="Marianne"/>
                          <w:sz w:val="24"/>
                        </w:rPr>
                        <w:t>Rue du Château</w:t>
                      </w:r>
                    </w:p>
                    <w:p>
                      <w:pPr>
                        <w:pStyle w:val="Normal1"/>
                        <w:spacing w:before="0" w:after="0"/>
                        <w:jc w:val="start"/>
                        <w:rPr/>
                      </w:pPr>
                      <w:r>
                        <w:rPr>
                          <w:rStyle w:val="Policepardfaut"/>
                          <w:rFonts w:cs="Work Sans" w:ascii="Marianne" w:hAnsi="Marianne"/>
                          <w:sz w:val="24"/>
                        </w:rPr>
                        <w:t>28 400 Nogent-le Rotrou</w:t>
                      </w:r>
                    </w:p>
                  </w:txbxContent>
                </v:textbox>
                <w10:wrap type="none"/>
              </v:rect>
            </w:pict>
          </mc:Fallback>
        </mc:AlternateContent>
      </w:r>
    </w:p>
    <w:p>
      <w:pPr>
        <w:pStyle w:val="Normal"/>
        <w:tabs>
          <w:tab w:val="clear" w:pos="709"/>
          <w:tab w:val="right" w:pos="9026" w:leader="none"/>
          <w:tab w:val="right" w:pos="9072" w:leader="none"/>
        </w:tabs>
        <w:spacing w:before="0" w:after="60"/>
        <w:jc w:val="end"/>
        <w:rPr>
          <w:rFonts w:ascii="Marianne" w:hAnsi="Marianne" w:eastAsia="Cambria" w:cs="Arial"/>
          <w:b/>
          <w:bCs/>
          <w:sz w:val="24"/>
        </w:rPr>
      </w:pPr>
      <w:r>
        <w:rPr>
          <w:rFonts w:eastAsia="Cambria" w:cs="Arial" w:ascii="Marianne" w:hAnsi="Marianne"/>
          <w:b/>
          <w:bCs/>
          <w:sz w:val="24"/>
        </w:rPr>
      </w:r>
    </w:p>
    <w:p>
      <w:pPr>
        <w:pStyle w:val="Normal"/>
        <w:tabs>
          <w:tab w:val="clear" w:pos="709"/>
          <w:tab w:val="right" w:pos="9026" w:leader="none"/>
          <w:tab w:val="right" w:pos="9072" w:leader="none"/>
        </w:tabs>
        <w:spacing w:before="0" w:after="60"/>
        <w:jc w:val="end"/>
        <w:rPr>
          <w:rFonts w:ascii="Marianne" w:hAnsi="Marianne" w:eastAsia="Cambria" w:cs="Arial"/>
          <w:b/>
          <w:bCs/>
          <w:sz w:val="24"/>
        </w:rPr>
      </w:pPr>
      <w:r>
        <w:rPr>
          <w:rFonts w:eastAsia="Cambria" w:cs="Arial" w:ascii="Marianne" w:hAnsi="Marianne"/>
          <w:b/>
          <w:bCs/>
          <w:sz w:val="24"/>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mc:AlternateContent>
          <mc:Choice Requires="wps">
            <w:drawing>
              <wp:anchor behindDoc="0" distT="0" distB="0" distL="0" distR="0" simplePos="0" locked="0" layoutInCell="1" allowOverlap="1" relativeHeight="2">
                <wp:simplePos x="0" y="0"/>
                <wp:positionH relativeFrom="column">
                  <wp:posOffset>1991360</wp:posOffset>
                </wp:positionH>
                <wp:positionV relativeFrom="paragraph">
                  <wp:posOffset>-635</wp:posOffset>
                </wp:positionV>
                <wp:extent cx="4130040" cy="510540"/>
                <wp:effectExtent l="0" t="0" r="0" b="0"/>
                <wp:wrapNone/>
                <wp:docPr id="4" name="Forme1"/>
                <a:graphic xmlns:a="http://schemas.openxmlformats.org/drawingml/2006/main">
                  <a:graphicData uri="http://schemas.microsoft.com/office/word/2010/wordprocessingShape">
                    <wps:wsp>
                      <wps:cNvSpPr/>
                      <wps:spPr>
                        <a:xfrm>
                          <a:off x="0" y="0"/>
                          <a:ext cx="4129920" cy="510480"/>
                        </a:xfrm>
                        <a:prstGeom prst="rect">
                          <a:avLst/>
                        </a:prstGeom>
                        <a:noFill/>
                        <a:ln w="0">
                          <a:noFill/>
                        </a:ln>
                      </wps:spPr>
                      <wps:style>
                        <a:lnRef idx="0"/>
                        <a:fillRef idx="0"/>
                        <a:effectRef idx="0"/>
                        <a:fontRef idx="minor"/>
                      </wps:style>
                      <wps:txbx>
                        <w:txbxContent>
                          <w:p>
                            <w:pPr>
                              <w:pStyle w:val="Contenudecadre"/>
                              <w:spacing w:lineRule="auto" w:line="240" w:before="0" w:after="0"/>
                              <w:jc w:val="end"/>
                              <w:rPr>
                                <w:rFonts w:ascii="Marianne" w:hAnsi="Marianne" w:eastAsia="Andale Sans UI" w:cs="Marianne"/>
                                <w:b/>
                                <w:bCs/>
                                <w:kern w:val="2"/>
                                <w:sz w:val="21"/>
                                <w:szCs w:val="21"/>
                                <w:lang w:eastAsia="ja-JP" w:bidi="fa-IR"/>
                              </w:rPr>
                            </w:pPr>
                            <w:r>
                              <w:rPr/>
                            </w:r>
                          </w:p>
                        </w:txbxContent>
                      </wps:txbx>
                      <wps:bodyPr lIns="0" rIns="0" tIns="0" bIns="0" anchor="t">
                        <a:noAutofit/>
                      </wps:bodyPr>
                    </wps:wsp>
                  </a:graphicData>
                </a:graphic>
              </wp:anchor>
            </w:drawing>
          </mc:Choice>
          <mc:Fallback>
            <w:pict>
              <v:rect id="shape_0" stroked="f" o:allowincell="f" style="position:absolute;margin-left:156.8pt;margin-top:-0.05pt;width:325.15pt;height:40.15pt;mso-wrap-style:none;v-text-anchor:middle">
                <v:fill o:detectmouseclick="t" on="false"/>
                <v:stroke color="#3465a4" joinstyle="round" endcap="flat"/>
                <v:textbox>
                  <w:txbxContent>
                    <w:p>
                      <w:pPr>
                        <w:pStyle w:val="Contenudecadre"/>
                        <w:spacing w:lineRule="auto" w:line="240" w:before="0" w:after="0"/>
                        <w:jc w:val="end"/>
                        <w:rPr>
                          <w:rFonts w:ascii="Marianne" w:hAnsi="Marianne" w:eastAsia="Andale Sans UI" w:cs="Marianne"/>
                          <w:b/>
                          <w:bCs/>
                          <w:kern w:val="2"/>
                          <w:sz w:val="21"/>
                          <w:szCs w:val="21"/>
                          <w:lang w:eastAsia="ja-JP" w:bidi="fa-IR"/>
                        </w:rPr>
                      </w:pPr>
                      <w:r>
                        <w:rPr/>
                      </w:r>
                    </w:p>
                  </w:txbxContent>
                </v:textbox>
                <w10:wrap type="none"/>
              </v:rect>
            </w:pict>
          </mc:Fallback>
        </mc:AlternateContent>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tbl>
      <w:tblPr>
        <w:tblW w:w="9630" w:type="dxa"/>
        <w:jc w:val="center"/>
        <w:tblInd w:w="0" w:type="dxa"/>
        <w:tblLayout w:type="fixed"/>
        <w:tblCellMar>
          <w:top w:w="57" w:type="dxa"/>
          <w:start w:w="57" w:type="dxa"/>
          <w:bottom w:w="0" w:type="dxa"/>
          <w:end w:w="0" w:type="dxa"/>
        </w:tblCellMar>
        <w:tblLook w:firstRow="1" w:noVBand="1" w:lastRow="0" w:firstColumn="1" w:lastColumn="0" w:noHBand="0" w:val="04a0"/>
      </w:tblPr>
      <w:tblGrid>
        <w:gridCol w:w="437"/>
        <w:gridCol w:w="8753"/>
        <w:gridCol w:w="440"/>
      </w:tblGrid>
      <w:tr>
        <w:trPr>
          <w:trHeight w:val="1035" w:hRule="atLeast"/>
          <w:cantSplit w:val="true"/>
        </w:trPr>
        <w:tc>
          <w:tcPr>
            <w:tcW w:w="437" w:type="dxa"/>
            <w:tcBorders>
              <w:top w:val="single" w:sz="4" w:space="0" w:color="000000"/>
              <w:start w:val="single" w:sz="4" w:space="0" w:color="000000"/>
            </w:tcBorders>
          </w:tcPr>
          <w:p>
            <w:pPr>
              <w:pStyle w:val="Normal"/>
              <w:widowControl w:val="false"/>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tc>
        <w:tc>
          <w:tcPr>
            <w:tcW w:w="8753" w:type="dxa"/>
            <w:tcBorders>
              <w:top w:val="single" w:sz="4" w:space="0" w:color="000000"/>
            </w:tcBorders>
            <w:tcMar>
              <w:start w:w="0" w:type="dxa"/>
            </w:tcMar>
            <w:vAlign w:val="center"/>
          </w:tcPr>
          <w:p>
            <w:pPr>
              <w:pStyle w:val="Standard"/>
              <w:widowControl w:val="false"/>
              <w:jc w:val="center"/>
              <w:rPr>
                <w:rFonts w:ascii="Marianne" w:hAnsi="Marianne"/>
                <w:b/>
              </w:rPr>
            </w:pPr>
            <w:r>
              <w:rPr>
                <w:rFonts w:ascii="Marianne" w:hAnsi="Marianne"/>
                <w:b/>
              </w:rPr>
            </w:r>
          </w:p>
          <w:p>
            <w:pPr>
              <w:pStyle w:val="Normal"/>
              <w:widowControl w:val="false"/>
              <w:spacing w:lineRule="auto" w:line="240" w:before="57" w:after="0"/>
              <w:jc w:val="center"/>
              <w:rPr>
                <w:rFonts w:ascii="Marianne" w:hAnsi="Marianne" w:eastAsia="SimSun" w:cs="Mangal"/>
                <w:b/>
                <w:caps/>
                <w:kern w:val="2"/>
                <w:sz w:val="24"/>
                <w:szCs w:val="24"/>
                <w:lang w:eastAsia="zh-CN" w:bidi="hi-IN"/>
              </w:rPr>
            </w:pPr>
            <w:r>
              <w:rPr>
                <w:rFonts w:eastAsia="SimSun" w:cs="Mangal" w:ascii="Marianne" w:hAnsi="Marianne"/>
                <w:b/>
                <w:caps/>
                <w:kern w:val="2"/>
                <w:sz w:val="24"/>
                <w:szCs w:val="24"/>
                <w:lang w:eastAsia="zh-CN" w:bidi="hi-IN"/>
              </w:rPr>
              <w:t>CONDUITE D'exploitation et maintenaNce des installations de chauffage-ventillation-climatisation pour l'UNITE d'instruction et d'intervention de la securite civilE</w:t>
            </w:r>
          </w:p>
          <w:p>
            <w:pPr>
              <w:pStyle w:val="Normal"/>
              <w:widowControl w:val="false"/>
              <w:spacing w:lineRule="auto" w:line="240" w:before="57" w:after="0"/>
              <w:jc w:val="center"/>
              <w:rPr>
                <w:rFonts w:ascii="Marianne" w:hAnsi="Marianne" w:eastAsia="SimSun" w:cs="Mangal"/>
                <w:b/>
                <w:caps/>
                <w:kern w:val="2"/>
                <w:sz w:val="24"/>
                <w:szCs w:val="24"/>
                <w:lang w:eastAsia="zh-CN" w:bidi="hi-IN"/>
              </w:rPr>
            </w:pPr>
            <w:r>
              <w:rPr>
                <w:rFonts w:eastAsia="SimSun" w:cs="Mangal" w:ascii="Marianne" w:hAnsi="Marianne"/>
                <w:b/>
                <w:caps/>
                <w:kern w:val="2"/>
                <w:sz w:val="24"/>
                <w:szCs w:val="24"/>
                <w:lang w:eastAsia="zh-CN" w:bidi="hi-IN"/>
              </w:rPr>
              <w:t>a nogent le rotrou</w:t>
            </w:r>
          </w:p>
          <w:p>
            <w:pPr>
              <w:pStyle w:val="Normal"/>
              <w:widowControl w:val="false"/>
              <w:spacing w:lineRule="auto" w:line="240" w:before="57" w:after="0"/>
              <w:jc w:val="center"/>
              <w:rPr>
                <w:rFonts w:ascii="Marianne" w:hAnsi="Marianne" w:eastAsia="Times New Roman" w:cs="Arial"/>
                <w:lang w:eastAsia="fr-FR"/>
              </w:rPr>
            </w:pPr>
            <w:r>
              <w:rPr>
                <w:rFonts w:eastAsia="Times New Roman" w:cs="Arial" w:ascii="Marianne" w:hAnsi="Marianne"/>
                <w:lang w:eastAsia="fr-FR"/>
              </w:rPr>
            </w:r>
          </w:p>
        </w:tc>
        <w:tc>
          <w:tcPr>
            <w:tcW w:w="440" w:type="dxa"/>
            <w:tcBorders>
              <w:top w:val="single" w:sz="4" w:space="0" w:color="000000"/>
              <w:end w:val="single" w:sz="4" w:space="0" w:color="000000"/>
            </w:tcBorders>
            <w:tcMar>
              <w:start w:w="0" w:type="dxa"/>
              <w:end w:w="57" w:type="dxa"/>
            </w:tcMar>
          </w:tcPr>
          <w:p>
            <w:pPr>
              <w:pStyle w:val="Normal"/>
              <w:widowControl w:val="false"/>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tc>
      </w:tr>
      <w:tr>
        <w:trPr>
          <w:trHeight w:val="930" w:hRule="atLeast"/>
          <w:cantSplit w:val="true"/>
        </w:trPr>
        <w:tc>
          <w:tcPr>
            <w:tcW w:w="437" w:type="dxa"/>
            <w:tcBorders>
              <w:start w:val="single" w:sz="4" w:space="0" w:color="000000"/>
              <w:bottom w:val="single" w:sz="4" w:space="0" w:color="000000"/>
            </w:tcBorders>
            <w:tcMar>
              <w:top w:w="0" w:type="dxa"/>
              <w:bottom w:w="57" w:type="dxa"/>
            </w:tcMar>
          </w:tcPr>
          <w:p>
            <w:pPr>
              <w:pStyle w:val="Normal"/>
              <w:widowControl w:val="false"/>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tc>
        <w:tc>
          <w:tcPr>
            <w:tcW w:w="8753" w:type="dxa"/>
            <w:tcBorders>
              <w:bottom w:val="single" w:sz="4" w:space="0" w:color="000000"/>
            </w:tcBorders>
            <w:tcMar>
              <w:top w:w="0" w:type="dxa"/>
              <w:start w:w="0" w:type="dxa"/>
              <w:bottom w:w="57" w:type="dxa"/>
            </w:tcMar>
            <w:vAlign w:val="center"/>
          </w:tcPr>
          <w:p>
            <w:pPr>
              <w:pStyle w:val="Normal"/>
              <w:widowControl w:val="false"/>
              <w:spacing w:lineRule="auto" w:line="240" w:before="57" w:after="0"/>
              <w:jc w:val="center"/>
              <w:rPr>
                <w:rFonts w:ascii="Marianne" w:hAnsi="Marianne"/>
              </w:rPr>
            </w:pPr>
            <w:r>
              <w:rPr>
                <w:rFonts w:eastAsia="Times New Roman" w:cs="Arial" w:ascii="Marianne" w:hAnsi="Marianne"/>
                <w:lang w:eastAsia="fr-FR"/>
              </w:rPr>
              <w:t>Cadre de Réponse Mémoire technique et environnemental</w:t>
            </w:r>
          </w:p>
        </w:tc>
        <w:tc>
          <w:tcPr>
            <w:tcW w:w="440" w:type="dxa"/>
            <w:tcBorders>
              <w:bottom w:val="single" w:sz="4" w:space="0" w:color="000000"/>
              <w:end w:val="single" w:sz="4" w:space="0" w:color="000000"/>
            </w:tcBorders>
            <w:tcMar>
              <w:top w:w="0" w:type="dxa"/>
              <w:start w:w="0" w:type="dxa"/>
              <w:bottom w:w="57" w:type="dxa"/>
              <w:end w:w="57" w:type="dxa"/>
            </w:tcMar>
          </w:tcPr>
          <w:p>
            <w:pPr>
              <w:pStyle w:val="Normal"/>
              <w:widowControl w:val="false"/>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tc>
      </w:tr>
    </w:tbl>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eastAsia="Times New Roman" w:cs="Arial"/>
          <w:lang w:eastAsia="fr-FR"/>
        </w:rPr>
      </w:pPr>
      <w:r>
        <w:rPr>
          <w:rFonts w:eastAsia="Times New Roman" w:cs="Arial" w:ascii="Marianne" w:hAnsi="Marianne"/>
          <w:lang w:eastAsia="fr-FR"/>
        </w:rPr>
      </w:r>
    </w:p>
    <w:p>
      <w:pPr>
        <w:pStyle w:val="Normal"/>
        <w:spacing w:lineRule="auto" w:line="240" w:before="57" w:after="0"/>
        <w:jc w:val="both"/>
        <w:rPr>
          <w:rFonts w:ascii="Marianne" w:hAnsi="Marianne"/>
        </w:rPr>
      </w:pPr>
      <w:r>
        <w:rPr>
          <w:rFonts w:eastAsia="Times New Roman" w:cs="Arial" w:ascii="Marianne" w:hAnsi="Marianne"/>
          <w:b/>
          <w:bCs/>
          <w:lang w:eastAsia="fr-FR"/>
        </w:rPr>
        <w:t xml:space="preserve">Numéro de consultation : </w:t>
      </w:r>
      <w:r>
        <w:rPr>
          <w:rFonts w:eastAsia="Times New Roman" w:cs="Arial" w:ascii="Marianne" w:hAnsi="Marianne"/>
          <w:b/>
          <w:bCs/>
          <w:shd w:fill="C0C0C0" w:val="clear"/>
          <w:lang w:eastAsia="fr-FR"/>
        </w:rPr>
        <w:t>2026CVCNOGENT</w:t>
      </w:r>
    </w:p>
    <w:p>
      <w:pPr>
        <w:pStyle w:val="Normal"/>
        <w:spacing w:lineRule="auto" w:line="240" w:before="57" w:after="0"/>
        <w:jc w:val="both"/>
        <w:rPr>
          <w:rFonts w:ascii="Marianne" w:hAnsi="Marianne" w:eastAsia="Times New Roman" w:cs="Arial"/>
          <w:sz w:val="20"/>
          <w:szCs w:val="20"/>
          <w:lang w:eastAsia="fr-FR"/>
        </w:rPr>
      </w:pPr>
      <w:r>
        <w:rPr>
          <w:rFonts w:eastAsia="Times New Roman" w:cs="Arial" w:ascii="Marianne" w:hAnsi="Marianne"/>
          <w:sz w:val="20"/>
          <w:szCs w:val="20"/>
          <w:lang w:eastAsia="fr-FR"/>
        </w:rPr>
      </w:r>
    </w:p>
    <w:p>
      <w:pPr>
        <w:pStyle w:val="Normal"/>
        <w:spacing w:lineRule="auto" w:line="240" w:before="57" w:after="0"/>
        <w:jc w:val="both"/>
        <w:rPr>
          <w:rFonts w:ascii="Marianne" w:hAnsi="Marianne"/>
        </w:rPr>
      </w:pPr>
      <w:r>
        <w:rPr>
          <w:rFonts w:eastAsia="Times New Roman" w:cs="Arial" w:ascii="Marianne" w:hAnsi="Marianne"/>
          <w:b/>
          <w:bCs/>
          <w:sz w:val="20"/>
          <w:szCs w:val="20"/>
          <w:lang w:eastAsia="fr-FR"/>
        </w:rPr>
        <w:t>Procédure de passation :</w:t>
      </w:r>
      <w:r>
        <w:rPr>
          <w:rFonts w:eastAsia="Times New Roman" w:cs="Arial" w:ascii="Marianne" w:hAnsi="Marianne"/>
          <w:sz w:val="20"/>
          <w:szCs w:val="20"/>
          <w:lang w:eastAsia="fr-FR"/>
        </w:rPr>
        <w:t xml:space="preserve"> </w:t>
      </w:r>
      <w:r>
        <w:rPr>
          <w:rFonts w:eastAsia="Times New Roman" w:cs="Arial" w:ascii="Marianne" w:hAnsi="Marianne"/>
          <w:sz w:val="20"/>
          <w:szCs w:val="20"/>
          <w:shd w:fill="C0C0C0" w:val="clear"/>
          <w:lang w:eastAsia="fr-FR"/>
        </w:rPr>
        <w:t>Appel d’offres ouvert</w:t>
      </w:r>
    </w:p>
    <w:p>
      <w:pPr>
        <w:pStyle w:val="Normal"/>
        <w:spacing w:lineRule="auto" w:line="240" w:before="57" w:after="0"/>
        <w:jc w:val="both"/>
        <w:rPr>
          <w:rFonts w:ascii="Marianne" w:hAnsi="Marianne" w:eastAsia="Times New Roman" w:cs="Arial"/>
          <w:sz w:val="20"/>
          <w:szCs w:val="20"/>
          <w:lang w:eastAsia="fr-FR"/>
        </w:rPr>
      </w:pPr>
      <w:r>
        <w:rPr>
          <w:rFonts w:eastAsia="Times New Roman" w:cs="Arial" w:ascii="Marianne" w:hAnsi="Marianne"/>
          <w:sz w:val="20"/>
          <w:szCs w:val="20"/>
          <w:lang w:eastAsia="fr-FR"/>
        </w:rPr>
      </w:r>
    </w:p>
    <w:p>
      <w:pPr>
        <w:pStyle w:val="Normal"/>
        <w:spacing w:lineRule="auto" w:line="240" w:before="57" w:after="0"/>
        <w:jc w:val="both"/>
        <w:rPr>
          <w:rFonts w:ascii="Marianne" w:hAnsi="Marianne" w:eastAsia="Times New Roman" w:cs="Arial"/>
          <w:sz w:val="20"/>
          <w:szCs w:val="20"/>
          <w:lang w:eastAsia="fr-FR"/>
        </w:rPr>
      </w:pPr>
      <w:r>
        <w:rPr>
          <w:rFonts w:eastAsia="Times New Roman" w:cs="Arial" w:ascii="Marianne" w:hAnsi="Marianne"/>
          <w:sz w:val="20"/>
          <w:szCs w:val="20"/>
          <w:lang w:eastAsia="fr-FR"/>
        </w:rPr>
      </w:r>
    </w:p>
    <w:tbl>
      <w:tblPr>
        <w:tblW w:w="10130" w:type="dxa"/>
        <w:jc w:val="center"/>
        <w:tblInd w:w="0" w:type="dxa"/>
        <w:tblLayout w:type="fixed"/>
        <w:tblCellMar>
          <w:top w:w="57" w:type="dxa"/>
          <w:start w:w="57" w:type="dxa"/>
          <w:bottom w:w="0" w:type="dxa"/>
          <w:end w:w="0" w:type="dxa"/>
        </w:tblCellMar>
        <w:tblLook w:firstRow="1" w:noVBand="1" w:lastRow="0" w:firstColumn="1" w:lastColumn="0" w:noHBand="0" w:val="04a0"/>
      </w:tblPr>
      <w:tblGrid>
        <w:gridCol w:w="1039"/>
        <w:gridCol w:w="8631"/>
        <w:gridCol w:w="460"/>
      </w:tblGrid>
      <w:tr>
        <w:trPr>
          <w:trHeight w:val="105" w:hRule="atLeast"/>
          <w:cantSplit w:val="true"/>
        </w:trPr>
        <w:tc>
          <w:tcPr>
            <w:tcW w:w="1039" w:type="dxa"/>
            <w:tcBorders>
              <w:top w:val="single" w:sz="4" w:space="0" w:color="000000"/>
              <w:start w:val="single" w:sz="4" w:space="0" w:color="000000"/>
              <w:bottom w:val="single" w:sz="4" w:space="0" w:color="000000"/>
            </w:tcBorders>
            <w:vAlign w:val="center"/>
          </w:tcPr>
          <w:p>
            <w:pPr>
              <w:pStyle w:val="Normal"/>
              <w:widowControl w:val="false"/>
              <w:spacing w:lineRule="auto" w:line="240" w:before="57" w:after="0"/>
              <w:jc w:val="center"/>
              <w:rPr>
                <w:rFonts w:ascii="Marianne" w:hAnsi="Marianne" w:eastAsia="Times New Roman" w:cs="Arial"/>
                <w:sz w:val="20"/>
                <w:szCs w:val="20"/>
                <w:lang w:eastAsia="fr-FR"/>
              </w:rPr>
            </w:pPr>
            <w:r>
              <w:rPr>
                <w:rFonts w:eastAsia="Times New Roman" w:cs="Arial" w:ascii="Marianne" w:hAnsi="Marianne"/>
                <w:sz w:val="20"/>
                <w:szCs w:val="20"/>
                <w:lang w:eastAsia="fr-FR"/>
              </w:rPr>
            </w:r>
          </w:p>
        </w:tc>
        <w:tc>
          <w:tcPr>
            <w:tcW w:w="8631" w:type="dxa"/>
            <w:tcBorders>
              <w:top w:val="single" w:sz="4" w:space="0" w:color="000000"/>
              <w:bottom w:val="single" w:sz="4" w:space="0" w:color="000000"/>
            </w:tcBorders>
            <w:tcMar>
              <w:start w:w="0" w:type="dxa"/>
            </w:tcMar>
            <w:vAlign w:val="bottom"/>
          </w:tcPr>
          <w:p>
            <w:pPr>
              <w:pStyle w:val="Standard"/>
              <w:widowControl w:val="false"/>
              <w:rPr>
                <w:rFonts w:ascii="Marianne" w:hAnsi="Marianne"/>
              </w:rPr>
            </w:pPr>
            <w:r>
              <w:rPr>
                <w:rFonts w:eastAsia="Times New Roman" w:cs="Arial" w:ascii="Marianne" w:hAnsi="Marianne"/>
                <w:sz w:val="20"/>
                <w:szCs w:val="20"/>
                <w:lang w:eastAsia="fr-FR"/>
              </w:rPr>
              <w:t>Date de limite de remise des candidatures :</w:t>
            </w:r>
            <w:r>
              <w:rPr>
                <w:rFonts w:eastAsia="Times New Roman" w:cs="Arial" w:ascii="Marianne" w:hAnsi="Marianne"/>
                <w:color w:val="C9211E"/>
                <w:sz w:val="20"/>
                <w:szCs w:val="20"/>
                <w:shd w:fill="auto" w:val="clear"/>
                <w:lang w:eastAsia="fr-FR"/>
              </w:rPr>
              <w:t xml:space="preserve"> </w:t>
            </w:r>
            <w:r>
              <w:rPr>
                <w:rFonts w:eastAsia="Times New Roman" w:cs="Arial" w:ascii="Marianne" w:hAnsi="Marianne"/>
                <w:b/>
                <w:bCs/>
                <w:color w:val="C9211E"/>
                <w:sz w:val="20"/>
                <w:szCs w:val="20"/>
                <w:shd w:fill="auto" w:val="clear"/>
                <w:lang w:eastAsia="fr-FR"/>
              </w:rPr>
              <w:t>04</w:t>
            </w:r>
            <w:r>
              <w:rPr>
                <w:rFonts w:eastAsia="Times New Roman" w:cs="Arial" w:ascii="Marianne" w:hAnsi="Marianne"/>
                <w:b/>
                <w:bCs/>
                <w:color w:val="C9211E"/>
                <w:sz w:val="20"/>
                <w:szCs w:val="20"/>
                <w:shd w:fill="auto" w:val="clear"/>
                <w:lang w:eastAsia="fr-FR"/>
              </w:rPr>
              <w:t xml:space="preserve"> </w:t>
            </w:r>
            <w:r>
              <w:rPr>
                <w:rFonts w:eastAsia="Times New Roman" w:cs="Arial" w:ascii="Marianne" w:hAnsi="Marianne"/>
                <w:b/>
                <w:bCs/>
                <w:color w:val="C9211E"/>
                <w:sz w:val="20"/>
                <w:szCs w:val="20"/>
                <w:shd w:fill="auto" w:val="clear"/>
                <w:lang w:eastAsia="fr-FR"/>
              </w:rPr>
              <w:t>septembre 2026 à 12:00:00</w:t>
            </w:r>
          </w:p>
          <w:p>
            <w:pPr>
              <w:pStyle w:val="Standard"/>
              <w:widowControl w:val="false"/>
              <w:rPr>
                <w:rFonts w:ascii="Marianne" w:hAnsi="Marianne" w:eastAsia="Times New Roman" w:cs="Arial"/>
                <w:sz w:val="20"/>
                <w:szCs w:val="20"/>
                <w:lang w:eastAsia="fr-FR"/>
              </w:rPr>
            </w:pPr>
            <w:r>
              <w:rPr>
                <w:rFonts w:eastAsia="Times New Roman" w:cs="Arial" w:ascii="Marianne" w:hAnsi="Marianne"/>
                <w:sz w:val="20"/>
                <w:szCs w:val="20"/>
                <w:lang w:eastAsia="fr-FR"/>
              </w:rPr>
            </w:r>
          </w:p>
        </w:tc>
        <w:tc>
          <w:tcPr>
            <w:tcW w:w="460" w:type="dxa"/>
            <w:tcBorders>
              <w:top w:val="single" w:sz="4" w:space="0" w:color="000000"/>
              <w:bottom w:val="single" w:sz="4" w:space="0" w:color="000000"/>
              <w:end w:val="single" w:sz="4" w:space="0" w:color="000000"/>
            </w:tcBorders>
            <w:tcMar>
              <w:start w:w="0" w:type="dxa"/>
              <w:end w:w="57" w:type="dxa"/>
            </w:tcMar>
          </w:tcPr>
          <w:p>
            <w:pPr>
              <w:pStyle w:val="Normal"/>
              <w:widowControl w:val="false"/>
              <w:spacing w:lineRule="auto" w:line="240" w:before="57" w:after="0"/>
              <w:jc w:val="both"/>
              <w:rPr>
                <w:rFonts w:ascii="Marianne" w:hAnsi="Marianne" w:eastAsia="Times New Roman" w:cs="Arial"/>
                <w:sz w:val="20"/>
                <w:szCs w:val="20"/>
                <w:lang w:eastAsia="fr-FR"/>
              </w:rPr>
            </w:pPr>
            <w:r>
              <w:rPr>
                <w:rFonts w:eastAsia="Times New Roman" w:cs="Arial" w:ascii="Marianne" w:hAnsi="Marianne"/>
                <w:sz w:val="20"/>
                <w:szCs w:val="20"/>
                <w:lang w:eastAsia="fr-FR"/>
              </w:rPr>
            </w:r>
          </w:p>
        </w:tc>
      </w:tr>
    </w:tbl>
    <w:p>
      <w:pPr>
        <w:pStyle w:val="Normal"/>
        <w:rPr>
          <w:rFonts w:ascii="Marianne" w:hAnsi="Marianne" w:eastAsia="Times New Roman" w:cs="Arial"/>
          <w:sz w:val="20"/>
          <w:szCs w:val="20"/>
          <w:lang w:eastAsia="fr-FR"/>
        </w:rPr>
      </w:pPr>
      <w:r>
        <w:rPr>
          <w:rFonts w:eastAsia="Times New Roman" w:cs="Arial" w:ascii="Marianne" w:hAnsi="Marianne"/>
          <w:sz w:val="20"/>
          <w:szCs w:val="20"/>
          <w:lang w:eastAsia="fr-FR"/>
        </w:rPr>
      </w:r>
    </w:p>
    <w:p>
      <w:pPr>
        <w:pStyle w:val="Normal"/>
        <w:rPr>
          <w:rFonts w:ascii="Marianne" w:hAnsi="Marianne" w:eastAsia="Times New Roman" w:cs="Arial"/>
          <w:sz w:val="20"/>
          <w:szCs w:val="20"/>
          <w:lang w:eastAsia="fr-FR"/>
        </w:rPr>
      </w:pPr>
      <w:r>
        <w:rPr>
          <w:rFonts w:eastAsia="Times New Roman" w:cs="Arial" w:ascii="Marianne" w:hAnsi="Marianne"/>
          <w:sz w:val="20"/>
          <w:szCs w:val="20"/>
          <w:lang w:eastAsia="fr-FR"/>
        </w:rPr>
      </w:r>
      <w:r>
        <w:br w:type="page"/>
      </w:r>
    </w:p>
    <w:p>
      <w:pPr>
        <w:pStyle w:val="ListParagraph"/>
        <w:keepNext w:val="true"/>
        <w:numPr>
          <w:ilvl w:val="0"/>
          <w:numId w:val="0"/>
        </w:numPr>
        <w:pBdr>
          <w:top w:val="single" w:sz="8" w:space="1" w:color="CCCCCC"/>
          <w:left w:val="single" w:sz="8" w:space="1" w:color="CCCCCC"/>
          <w:bottom w:val="single" w:sz="8" w:space="1" w:color="CCCCCC"/>
          <w:right w:val="single" w:sz="8" w:space="1" w:color="CCCCCC"/>
        </w:pBdr>
        <w:shd w:val="clear" w:color="auto" w:fill="CCCCCC"/>
        <w:spacing w:lineRule="auto" w:line="240" w:before="0" w:after="0"/>
        <w:ind w:hanging="357" w:start="357"/>
        <w:contextualSpacing/>
        <w:outlineLvl w:val="0"/>
        <w:rPr>
          <w:rFonts w:ascii="Marianne" w:hAnsi="Marianne"/>
        </w:rPr>
      </w:pPr>
      <w:bookmarkStart w:id="0" w:name="__RefHeading__97575_882817418"/>
      <w:bookmarkStart w:id="1" w:name="_Toc163579629"/>
      <w:bookmarkStart w:id="2" w:name="_Toc130227583"/>
      <w:bookmarkEnd w:id="0"/>
      <w:bookmarkEnd w:id="2"/>
      <w:r>
        <w:rPr>
          <w:rFonts w:eastAsia="Times New Roman" w:cs="Arial" w:ascii="Marianne" w:hAnsi="Marianne"/>
          <w:b/>
          <w:bCs/>
          <w:kern w:val="2"/>
          <w:sz w:val="20"/>
          <w:szCs w:val="20"/>
          <w:lang w:eastAsia="fr-FR"/>
        </w:rPr>
        <w:t>Règles de rédaction des réponses</w:t>
      </w:r>
      <w:bookmarkEnd w:id="1"/>
    </w:p>
    <w:p>
      <w:pPr>
        <w:pStyle w:val="Normal"/>
        <w:spacing w:lineRule="auto" w:line="240" w:before="57" w:after="0"/>
        <w:ind w:hanging="0" w:start="0"/>
        <w:jc w:val="both"/>
        <w:rPr>
          <w:rFonts w:ascii="Marianne" w:hAnsi="Marianne" w:eastAsia="Times New Roman" w:cs="Arial"/>
          <w:sz w:val="20"/>
          <w:szCs w:val="20"/>
          <w:lang w:eastAsia="fr-FR"/>
        </w:rPr>
      </w:pPr>
      <w:r>
        <w:rPr>
          <w:rFonts w:eastAsia="Times New Roman" w:cs="Arial" w:ascii="Marianne" w:hAnsi="Marianne"/>
          <w:sz w:val="20"/>
          <w:szCs w:val="20"/>
          <w:lang w:eastAsia="fr-FR"/>
        </w:rPr>
      </w:r>
    </w:p>
    <w:p>
      <w:pPr>
        <w:pStyle w:val="ListParagraph"/>
        <w:keepNext w:val="true"/>
        <w:numPr>
          <w:ilvl w:val="1"/>
          <w:numId w:val="2"/>
        </w:numPr>
        <w:pBdr>
          <w:left w:val="single" w:sz="8" w:space="0" w:color="CCCCCC"/>
          <w:bottom w:val="single" w:sz="8" w:space="0" w:color="CCCCCC"/>
        </w:pBdr>
        <w:spacing w:lineRule="auto" w:line="240" w:before="227" w:after="0"/>
        <w:contextualSpacing/>
        <w:outlineLvl w:val="1"/>
        <w:rPr>
          <w:rFonts w:ascii="Marianne" w:hAnsi="Marianne"/>
        </w:rPr>
      </w:pPr>
      <w:bookmarkStart w:id="3" w:name="__RefHeading___Toc31161_1053230661"/>
      <w:bookmarkStart w:id="4" w:name="_Toc163579630"/>
      <w:bookmarkEnd w:id="3"/>
      <w:r>
        <w:rPr>
          <w:rFonts w:eastAsia="Times New Roman" w:cs="Arial" w:ascii="Marianne" w:hAnsi="Marianne"/>
          <w:b/>
          <w:bCs/>
          <w:sz w:val="20"/>
          <w:szCs w:val="20"/>
          <w:lang w:eastAsia="fr-FR"/>
        </w:rPr>
        <w:t>Mise en page</w:t>
      </w:r>
      <w:bookmarkEnd w:id="4"/>
    </w:p>
    <w:p>
      <w:pPr>
        <w:pStyle w:val="Normal"/>
        <w:numPr>
          <w:ilvl w:val="0"/>
          <w:numId w:val="3"/>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La police d’écriture sera « arial » ou « times new roman » de taille 11.</w:t>
      </w:r>
    </w:p>
    <w:p>
      <w:pPr>
        <w:pStyle w:val="Normal"/>
        <w:numPr>
          <w:ilvl w:val="0"/>
          <w:numId w:val="3"/>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 xml:space="preserve">Le nombre de pages maximum est fixé à </w:t>
      </w:r>
      <w:r>
        <w:rPr>
          <w:rFonts w:eastAsia="Times New Roman" w:cs="Arial" w:ascii="Marianne" w:hAnsi="Marianne"/>
          <w:sz w:val="20"/>
          <w:szCs w:val="20"/>
          <w:lang w:eastAsia="fr-FR"/>
        </w:rPr>
        <w:t>25</w:t>
      </w:r>
      <w:r>
        <w:rPr>
          <w:rFonts w:eastAsia="Times New Roman" w:cs="Arial" w:ascii="Marianne" w:hAnsi="Marianne"/>
          <w:sz w:val="20"/>
          <w:szCs w:val="20"/>
          <w:lang w:eastAsia="fr-FR"/>
        </w:rPr>
        <w:t xml:space="preserve"> pages hors page de garde, sommaire et le chapitre 1 sur les règles de rédaction du document.</w:t>
      </w:r>
    </w:p>
    <w:p>
      <w:pPr>
        <w:pStyle w:val="Normal"/>
        <w:numPr>
          <w:ilvl w:val="0"/>
          <w:numId w:val="3"/>
        </w:numPr>
        <w:spacing w:lineRule="auto" w:line="240" w:before="57" w:after="0"/>
        <w:ind w:hanging="360" w:start="284"/>
        <w:jc w:val="both"/>
        <w:rPr>
          <w:rFonts w:ascii="Marianne" w:hAnsi="Marianne" w:eastAsia="Times New Roman" w:cs="Arial"/>
          <w:sz w:val="20"/>
          <w:szCs w:val="20"/>
          <w:lang w:eastAsia="fr-FR"/>
        </w:rPr>
      </w:pPr>
      <w:r>
        <w:rPr>
          <w:rFonts w:eastAsia="Times New Roman" w:cs="Arial" w:ascii="Marianne" w:hAnsi="Marianne"/>
          <w:sz w:val="20"/>
          <w:szCs w:val="20"/>
          <w:lang w:eastAsia="fr-FR"/>
        </w:rPr>
        <w:t>Aucune page au-delà des limites imposées ne seront analysées.</w:t>
      </w:r>
    </w:p>
    <w:p>
      <w:pPr>
        <w:pStyle w:val="Normal"/>
        <w:numPr>
          <w:ilvl w:val="0"/>
          <w:numId w:val="3"/>
        </w:numPr>
        <w:spacing w:lineRule="auto" w:line="240" w:before="57" w:after="0"/>
        <w:ind w:hanging="360" w:start="284"/>
        <w:jc w:val="both"/>
        <w:rPr>
          <w:rFonts w:ascii="Marianne" w:hAnsi="Marianne" w:eastAsia="Times New Roman" w:cs="Arial"/>
          <w:sz w:val="20"/>
          <w:szCs w:val="20"/>
          <w:lang w:eastAsia="fr-FR"/>
        </w:rPr>
      </w:pPr>
      <w:r>
        <w:rPr>
          <w:rFonts w:eastAsia="Times New Roman" w:cs="Arial" w:ascii="Marianne" w:hAnsi="Marianne"/>
          <w:sz w:val="20"/>
          <w:szCs w:val="20"/>
          <w:lang w:eastAsia="fr-FR"/>
        </w:rPr>
        <w:t>Un mémoire complémentaire pourra être transmis sans pouvoir excéder 15 pages.</w:t>
      </w:r>
    </w:p>
    <w:p>
      <w:pPr>
        <w:pStyle w:val="Normal"/>
        <w:spacing w:lineRule="auto" w:line="240" w:before="57" w:after="0"/>
        <w:ind w:hanging="0" w:start="284"/>
        <w:jc w:val="both"/>
        <w:rPr>
          <w:rFonts w:ascii="Marianne" w:hAnsi="Marianne" w:eastAsia="Times New Roman" w:cs="Arial"/>
          <w:sz w:val="20"/>
          <w:szCs w:val="20"/>
          <w:lang w:eastAsia="fr-FR"/>
        </w:rPr>
      </w:pPr>
      <w:r>
        <w:rPr>
          <w:rFonts w:eastAsia="Times New Roman" w:cs="Arial" w:ascii="Marianne" w:hAnsi="Marianne"/>
          <w:sz w:val="20"/>
          <w:szCs w:val="20"/>
          <w:lang w:eastAsia="fr-FR"/>
        </w:rPr>
      </w:r>
    </w:p>
    <w:p>
      <w:pPr>
        <w:pStyle w:val="ListParagraph"/>
        <w:keepNext w:val="true"/>
        <w:numPr>
          <w:ilvl w:val="1"/>
          <w:numId w:val="2"/>
        </w:numPr>
        <w:pBdr>
          <w:left w:val="single" w:sz="8" w:space="0" w:color="CCCCCC"/>
          <w:bottom w:val="single" w:sz="8" w:space="0" w:color="CCCCCC"/>
        </w:pBdr>
        <w:spacing w:lineRule="auto" w:line="240" w:before="227" w:after="0"/>
        <w:contextualSpacing/>
        <w:outlineLvl w:val="1"/>
        <w:rPr>
          <w:rFonts w:ascii="Marianne" w:hAnsi="Marianne"/>
        </w:rPr>
      </w:pPr>
      <w:bookmarkStart w:id="5" w:name="__RefHeading___Toc31163_1053230661"/>
      <w:bookmarkStart w:id="6" w:name="_Toc151528604"/>
      <w:bookmarkStart w:id="7" w:name="_Toc163579631"/>
      <w:bookmarkEnd w:id="5"/>
      <w:r>
        <w:rPr>
          <w:rFonts w:eastAsia="Times New Roman" w:cs="Arial" w:ascii="Marianne" w:hAnsi="Marianne"/>
          <w:b/>
          <w:bCs/>
          <w:sz w:val="20"/>
          <w:szCs w:val="20"/>
          <w:lang w:eastAsia="fr-FR"/>
        </w:rPr>
        <w:t>Annexes autorisées</w:t>
      </w:r>
      <w:bookmarkEnd w:id="6"/>
      <w:bookmarkEnd w:id="7"/>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 xml:space="preserve">Organigramme de l’organisation prévue </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 xml:space="preserve">Les CV complets des intervenants </w:t>
      </w:r>
      <w:r>
        <w:rPr>
          <w:rFonts w:eastAsia="Times New Roman" w:cs="Arial" w:ascii="Marianne" w:hAnsi="Marianne"/>
          <w:sz w:val="20"/>
          <w:szCs w:val="20"/>
          <w:lang w:eastAsia="fr-FR"/>
        </w:rPr>
        <w:t>anonymisés</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Description de la procédure d’astreinte</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Descriptifs simplifiés des fonctionnalités de la GMAO et du portail internet</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Macro-planning prévisionnel des deux premières années (hors planning de maintenance) vis-à-vis des livrables, des réunions, de la gestion du contrat etc.</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Exemple de rapport d’activité (mensuel, trimestriel et/ou annuel)</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Exemple de PV de prise en charge</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Exemple de plan pluriannuel d’investissement</w:t>
      </w:r>
    </w:p>
    <w:p>
      <w:pPr>
        <w:pStyle w:val="Normal"/>
        <w:numPr>
          <w:ilvl w:val="0"/>
          <w:numId w:val="4"/>
        </w:numPr>
        <w:spacing w:lineRule="auto" w:line="240" w:before="57" w:after="0"/>
        <w:ind w:hanging="360" w:start="284"/>
        <w:jc w:val="both"/>
        <w:rPr>
          <w:rFonts w:ascii="Marianne" w:hAnsi="Marianne"/>
        </w:rPr>
      </w:pPr>
      <w:r>
        <w:rPr>
          <w:rFonts w:eastAsia="Times New Roman" w:cs="Arial" w:ascii="Marianne" w:hAnsi="Marianne"/>
          <w:sz w:val="20"/>
          <w:szCs w:val="20"/>
          <w:lang w:eastAsia="fr-FR"/>
        </w:rPr>
        <w:t>Exemple de synthèse des progrès de sobriété énergétique</w:t>
      </w:r>
    </w:p>
    <w:p>
      <w:pPr>
        <w:pStyle w:val="Normal"/>
        <w:numPr>
          <w:ilvl w:val="0"/>
          <w:numId w:val="0"/>
        </w:numPr>
        <w:spacing w:lineRule="auto" w:line="240" w:before="57" w:after="0"/>
        <w:ind w:hanging="0" w:start="284"/>
        <w:jc w:val="both"/>
        <w:rPr>
          <w:rFonts w:ascii="Marianne" w:hAnsi="Marianne"/>
        </w:rPr>
      </w:pPr>
      <w:r>
        <w:rPr>
          <w:rFonts w:ascii="Marianne" w:hAnsi="Marianne"/>
        </w:rPr>
      </w:r>
    </w:p>
    <w:p>
      <w:pPr>
        <w:pStyle w:val="Normal"/>
        <w:spacing w:lineRule="auto" w:line="240" w:before="57" w:after="0"/>
        <w:ind w:hanging="0" w:start="284"/>
        <w:jc w:val="both"/>
        <w:rPr>
          <w:rFonts w:ascii="Marianne" w:hAnsi="Marianne" w:eastAsia="Times New Roman" w:cs="Arial"/>
          <w:sz w:val="20"/>
          <w:szCs w:val="20"/>
          <w:lang w:eastAsia="fr-FR"/>
        </w:rPr>
      </w:pPr>
      <w:r>
        <w:rPr>
          <w:rFonts w:eastAsia="Times New Roman" w:cs="Arial" w:ascii="Marianne" w:hAnsi="Marianne"/>
          <w:sz w:val="20"/>
          <w:szCs w:val="20"/>
          <w:lang w:eastAsia="fr-FR"/>
        </w:rPr>
      </w:r>
      <w:r>
        <w:br w:type="page"/>
      </w:r>
    </w:p>
    <w:p>
      <w:pPr>
        <w:pStyle w:val="ListParagraph"/>
        <w:keepNext w:val="true"/>
        <w:numPr>
          <w:ilvl w:val="0"/>
          <w:numId w:val="0"/>
        </w:numPr>
        <w:pBdr>
          <w:top w:val="single" w:sz="8" w:space="1" w:color="CCCCCC"/>
          <w:left w:val="single" w:sz="8" w:space="1" w:color="CCCCCC"/>
          <w:bottom w:val="single" w:sz="8" w:space="1" w:color="CCCCCC"/>
          <w:right w:val="single" w:sz="8" w:space="1" w:color="CCCCCC"/>
        </w:pBdr>
        <w:shd w:val="clear" w:color="auto" w:fill="CCCCCC"/>
        <w:spacing w:lineRule="auto" w:line="240" w:before="113" w:after="0"/>
        <w:ind w:hanging="0" w:start="0"/>
        <w:contextualSpacing/>
        <w:outlineLvl w:val="0"/>
        <w:rPr>
          <w:rFonts w:ascii="Marianne" w:hAnsi="Marianne"/>
          <w:sz w:val="22"/>
          <w:szCs w:val="22"/>
        </w:rPr>
      </w:pPr>
      <w:bookmarkStart w:id="8" w:name="__RefHeading___Toc31165_1053230661"/>
      <w:bookmarkEnd w:id="8"/>
      <w:r>
        <w:rPr>
          <w:rFonts w:eastAsia="Times New Roman" w:cs="Arial" w:ascii="Marianne" w:hAnsi="Marianne"/>
          <w:b/>
          <w:bCs/>
          <w:kern w:val="2"/>
          <w:sz w:val="22"/>
          <w:szCs w:val="22"/>
          <w:lang w:eastAsia="fr-FR"/>
        </w:rPr>
        <w:t xml:space="preserve">1 - Critère d’attribution n° 1 - </w:t>
      </w:r>
      <w:bookmarkStart w:id="9" w:name="_Toc163579632"/>
      <w:r>
        <w:rPr>
          <w:rFonts w:eastAsia="Times New Roman" w:cs="Arial" w:ascii="Marianne" w:hAnsi="Marianne"/>
          <w:b/>
          <w:bCs/>
          <w:kern w:val="2"/>
          <w:sz w:val="22"/>
          <w:szCs w:val="22"/>
          <w:lang w:eastAsia="fr-FR"/>
        </w:rPr>
        <w:t xml:space="preserve">Valeur technique de l’offre : </w:t>
      </w:r>
      <w:bookmarkEnd w:id="9"/>
      <w:r>
        <w:rPr>
          <w:rFonts w:eastAsia="Times New Roman" w:cs="Arial" w:ascii="Marianne" w:hAnsi="Marianne"/>
          <w:b/>
          <w:bCs/>
          <w:kern w:val="2"/>
          <w:sz w:val="22"/>
          <w:szCs w:val="22"/>
          <w:lang w:eastAsia="fr-FR"/>
        </w:rPr>
        <w:t>45</w:t>
      </w:r>
      <w:r>
        <w:rPr>
          <w:rFonts w:eastAsia="Times New Roman" w:cs="Arial" w:ascii="Marianne" w:hAnsi="Marianne"/>
          <w:b/>
          <w:bCs/>
          <w:kern w:val="2"/>
          <w:sz w:val="22"/>
          <w:szCs w:val="22"/>
          <w:lang w:eastAsia="fr-FR"/>
        </w:rPr>
        <w:t> %</w:t>
      </w:r>
    </w:p>
    <w:p>
      <w:pPr>
        <w:pStyle w:val="Normal"/>
        <w:spacing w:lineRule="auto" w:line="240" w:before="0" w:after="0"/>
        <w:jc w:val="both"/>
        <w:rPr>
          <w:rFonts w:ascii="Marianne" w:hAnsi="Marianne" w:eastAsia="Times New Roman" w:cs="Arial"/>
          <w:sz w:val="12"/>
          <w:szCs w:val="12"/>
          <w:lang w:eastAsia="fr-FR"/>
        </w:rPr>
      </w:pPr>
      <w:r>
        <w:rPr>
          <w:rFonts w:eastAsia="Times New Roman" w:cs="Arial" w:ascii="Marianne" w:hAnsi="Marianne"/>
          <w:sz w:val="12"/>
          <w:szCs w:val="12"/>
          <w:lang w:eastAsia="fr-FR"/>
        </w:rPr>
      </w:r>
    </w:p>
    <w:p>
      <w:pPr>
        <w:pStyle w:val="ListParagraph"/>
        <w:keepNext w:val="true"/>
        <w:numPr>
          <w:ilvl w:val="0"/>
          <w:numId w:val="0"/>
        </w:numPr>
        <w:pBdr>
          <w:left w:val="single" w:sz="8" w:space="0" w:color="CCCCCC"/>
          <w:bottom w:val="single" w:sz="8" w:space="0" w:color="CCCCCC"/>
        </w:pBdr>
        <w:spacing w:lineRule="auto" w:line="240" w:before="227" w:after="0"/>
        <w:ind w:hanging="0" w:start="0"/>
        <w:contextualSpacing/>
        <w:outlineLvl w:val="1"/>
        <w:rPr>
          <w:rFonts w:ascii="Marianne" w:hAnsi="Marianne"/>
          <w:sz w:val="22"/>
          <w:szCs w:val="22"/>
        </w:rPr>
      </w:pPr>
      <w:bookmarkStart w:id="10" w:name="__RefHeading___Toc44918_3214857477"/>
      <w:bookmarkEnd w:id="10"/>
      <w:r>
        <w:rPr>
          <w:rFonts w:eastAsia="Times New Roman" w:cs="Arial" w:ascii="Marianne" w:hAnsi="Marianne"/>
          <w:b/>
          <w:bCs/>
          <w:sz w:val="22"/>
          <w:szCs w:val="22"/>
          <w:u w:val="single"/>
          <w:lang w:eastAsia="fr-FR"/>
        </w:rPr>
        <w:t xml:space="preserve">1.2 - </w:t>
      </w:r>
      <w:r>
        <w:rPr>
          <w:rFonts w:eastAsia="Times New Roman" w:cs="Arial" w:ascii="Marianne" w:hAnsi="Marianne"/>
          <w:b/>
          <w:bCs/>
          <w:sz w:val="22"/>
          <w:szCs w:val="22"/>
          <w:u w:val="single"/>
          <w:lang w:eastAsia="fr-FR"/>
        </w:rPr>
        <w:t xml:space="preserve">Sous-critère n° 1 : Modalités d'organisation envisagées spécifiquement pour </w:t>
      </w:r>
      <w:r>
        <w:rPr>
          <w:rFonts w:eastAsia="Times New Roman" w:cs="Arial" w:ascii="Marianne" w:hAnsi="Marianne"/>
          <w:b/>
          <w:bCs/>
          <w:sz w:val="22"/>
          <w:szCs w:val="22"/>
          <w:u w:val="single"/>
          <w:lang w:eastAsia="fr-FR"/>
        </w:rPr>
        <w:t xml:space="preserve">l'exécution des prestations </w:t>
      </w:r>
      <w:r>
        <w:rPr>
          <w:rFonts w:eastAsia="Times New Roman" w:cs="Arial" w:ascii="Marianne" w:hAnsi="Marianne"/>
          <w:b/>
          <w:bCs/>
          <w:sz w:val="22"/>
          <w:szCs w:val="22"/>
          <w:u w:val="single"/>
          <w:lang w:eastAsia="fr-FR"/>
        </w:rPr>
        <w:t>(15%)</w:t>
      </w:r>
      <w:r>
        <w:rPr>
          <w:rFonts w:eastAsia="Times New Roman" w:cs="Arial" w:ascii="Marianne" w:hAnsi="Marianne"/>
          <w:b/>
          <w:bCs/>
          <w:sz w:val="22"/>
          <w:szCs w:val="22"/>
          <w:u w:val="single"/>
          <w:lang w:eastAsia="fr-FR"/>
        </w:rPr>
        <w:t xml:space="preserve"> </w:t>
      </w:r>
      <w:bookmarkStart w:id="11" w:name="_Toc151528606"/>
      <w:bookmarkStart w:id="12" w:name="_Toc163579633"/>
      <w:r>
        <w:rPr>
          <w:rFonts w:eastAsia="Times New Roman" w:cs="Arial" w:ascii="Marianne" w:hAnsi="Marianne"/>
          <w:b/>
          <w:bCs/>
          <w:sz w:val="22"/>
          <w:szCs w:val="22"/>
          <w:u w:val="single"/>
          <w:lang w:eastAsia="fr-FR"/>
        </w:rPr>
        <w:t xml:space="preserve"> </w:t>
      </w:r>
      <w:r>
        <w:rPr>
          <w:rFonts w:eastAsia="Times New Roman" w:cs="Arial" w:ascii="Marianne" w:hAnsi="Marianne"/>
          <w:b/>
          <w:bCs/>
          <w:sz w:val="22"/>
          <w:szCs w:val="22"/>
          <w:lang w:eastAsia="fr-FR"/>
        </w:rPr>
        <w:t xml:space="preserve">: </w:t>
      </w:r>
      <w:bookmarkEnd w:id="11"/>
      <w:bookmarkEnd w:id="12"/>
    </w:p>
    <w:p>
      <w:pPr>
        <w:pStyle w:val="Normal"/>
        <w:spacing w:lineRule="auto" w:line="240" w:before="0" w:after="0"/>
        <w:jc w:val="both"/>
        <w:rPr>
          <w:rFonts w:ascii="Marianne" w:hAnsi="Marianne" w:eastAsia="Times New Roman" w:cs="Arial"/>
          <w:sz w:val="12"/>
          <w:szCs w:val="12"/>
          <w:lang w:eastAsia="fr-FR"/>
        </w:rPr>
      </w:pPr>
      <w:r>
        <w:rPr>
          <w:rFonts w:eastAsia="Times New Roman" w:cs="Arial" w:ascii="Marianne" w:hAnsi="Marianne"/>
          <w:sz w:val="12"/>
          <w:szCs w:val="12"/>
          <w:lang w:eastAsia="fr-FR"/>
        </w:rPr>
      </w:r>
    </w:p>
    <w:p>
      <w:pPr>
        <w:pStyle w:val="Normal"/>
        <w:spacing w:before="57" w:after="60"/>
        <w:jc w:val="both"/>
        <w:rPr>
          <w:rFonts w:ascii="Marianne" w:hAnsi="Marianne" w:eastAsia="Times New Roman" w:cs="Calibri"/>
          <w:b w:val="false"/>
          <w:bCs w:val="false"/>
          <w:color w:val="000000"/>
          <w:sz w:val="22"/>
          <w:szCs w:val="22"/>
          <w:lang w:eastAsia="fr-FR"/>
        </w:rPr>
      </w:pPr>
      <w:r>
        <w:rPr>
          <w:rFonts w:eastAsia="Times New Roman" w:cs="Calibri" w:ascii="Marianne" w:hAnsi="Marianne"/>
          <w:b w:val="false"/>
          <w:bCs w:val="false"/>
          <w:color w:val="000000"/>
          <w:sz w:val="22"/>
          <w:szCs w:val="22"/>
          <w:lang w:eastAsia="fr-FR"/>
        </w:rPr>
        <w:t>- Organisation prévue : organigramme, gestion du contrat, encadrement, effectif et qualification du personnel d'intervention ou d'astreinte dédié avec CV anonymisé, gestion des remplacements et méthode de limitation du taux de remplacement.</w:t>
      </w:r>
    </w:p>
    <w:p>
      <w:pPr>
        <w:pStyle w:val="Normal"/>
        <w:spacing w:before="0" w:after="0"/>
        <w:jc w:val="both"/>
        <w:rPr>
          <w:rFonts w:ascii="Marianne" w:hAnsi="Marianne" w:eastAsia="Times New Roman" w:cs="Calibri"/>
          <w:b w:val="false"/>
          <w:bCs w:val="false"/>
          <w:color w:val="000000"/>
          <w:sz w:val="12"/>
          <w:szCs w:val="12"/>
          <w:lang w:eastAsia="fr-FR"/>
        </w:rPr>
      </w:pPr>
      <w:r>
        <w:rPr>
          <w:rFonts w:eastAsia="Times New Roman" w:cs="Calibri" w:ascii="Marianne" w:hAnsi="Marianne"/>
          <w:b w:val="false"/>
          <w:bCs w:val="false"/>
          <w:color w:val="000000"/>
          <w:sz w:val="12"/>
          <w:szCs w:val="12"/>
          <w:lang w:eastAsia="fr-FR"/>
        </w:rPr>
      </w:r>
    </w:p>
    <w:p>
      <w:pPr>
        <w:pStyle w:val="Normal"/>
        <w:spacing w:before="57" w:after="60"/>
        <w:jc w:val="both"/>
        <w:rPr>
          <w:rFonts w:ascii="Marianne" w:hAnsi="Marianne" w:eastAsia="Times New Roman" w:cs="Calibri"/>
          <w:b w:val="false"/>
          <w:bCs w:val="false"/>
          <w:color w:val="000000"/>
          <w:sz w:val="22"/>
          <w:szCs w:val="22"/>
          <w:lang w:eastAsia="fr-FR"/>
        </w:rPr>
      </w:pPr>
      <w:r>
        <w:rPr>
          <w:rFonts w:eastAsia="Times New Roman" w:cs="Calibri" w:ascii="Marianne" w:hAnsi="Marianne"/>
          <w:b w:val="false"/>
          <w:bCs w:val="false"/>
          <w:color w:val="000000"/>
          <w:sz w:val="22"/>
          <w:szCs w:val="22"/>
          <w:lang w:eastAsia="fr-FR"/>
        </w:rPr>
        <w:t>- Méthodologie du soumissionnaire pour la prise en charge des installations et pour la réversibilité, notamment la mise en place et la mise à jour du dossier d’exploitation-maintenance et des données GMAO - description GMAO</w:t>
      </w:r>
    </w:p>
    <w:p>
      <w:pPr>
        <w:pStyle w:val="Normal"/>
        <w:spacing w:before="0" w:after="0"/>
        <w:jc w:val="both"/>
        <w:rPr>
          <w:rFonts w:ascii="Marianne" w:hAnsi="Marianne" w:eastAsia="Times New Roman" w:cs="Calibri"/>
          <w:b w:val="false"/>
          <w:bCs w:val="false"/>
          <w:color w:val="000000"/>
          <w:sz w:val="12"/>
          <w:szCs w:val="12"/>
          <w:lang w:eastAsia="fr-FR"/>
        </w:rPr>
      </w:pPr>
      <w:r>
        <w:rPr>
          <w:rFonts w:eastAsia="Times New Roman" w:cs="Calibri" w:ascii="Marianne" w:hAnsi="Marianne"/>
          <w:b w:val="false"/>
          <w:bCs w:val="false"/>
          <w:color w:val="000000"/>
          <w:sz w:val="12"/>
          <w:szCs w:val="12"/>
          <w:lang w:eastAsia="fr-FR"/>
        </w:rPr>
      </w:r>
    </w:p>
    <w:p>
      <w:pPr>
        <w:pStyle w:val="Normal"/>
        <w:spacing w:before="57" w:after="60"/>
        <w:jc w:val="both"/>
        <w:rPr>
          <w:rFonts w:ascii="Marianne" w:hAnsi="Marianne" w:eastAsia="Times New Roman" w:cs="Calibri"/>
          <w:b w:val="false"/>
          <w:bCs w:val="false"/>
          <w:color w:val="000000"/>
          <w:sz w:val="22"/>
          <w:szCs w:val="22"/>
          <w:lang w:eastAsia="fr-FR"/>
        </w:rPr>
      </w:pPr>
      <w:r>
        <w:rPr>
          <w:rFonts w:eastAsia="Times New Roman" w:cs="Calibri" w:ascii="Marianne" w:hAnsi="Marianne"/>
          <w:b w:val="false"/>
          <w:bCs w:val="false"/>
          <w:color w:val="000000"/>
          <w:sz w:val="22"/>
          <w:szCs w:val="22"/>
          <w:lang w:eastAsia="fr-FR"/>
        </w:rPr>
        <w:t>- Plan d'assurance qualité : démarche qualité, indicateurs, tableau de bord, qualité des livrables d'exploitation (principe de reporting, rapports d'activité et de visite, transmission de défauts, pertinence des rapports émis)</w:t>
      </w:r>
    </w:p>
    <w:p>
      <w:pPr>
        <w:pStyle w:val="Normal"/>
        <w:spacing w:before="0" w:after="0"/>
        <w:jc w:val="both"/>
        <w:rPr>
          <w:rFonts w:ascii="Marianne" w:hAnsi="Marianne" w:eastAsia="Times New Roman" w:cs="Calibri"/>
          <w:b w:val="false"/>
          <w:bCs w:val="false"/>
          <w:color w:val="000000"/>
          <w:sz w:val="12"/>
          <w:szCs w:val="12"/>
          <w:lang w:eastAsia="fr-FR"/>
        </w:rPr>
      </w:pPr>
      <w:r>
        <w:rPr>
          <w:rFonts w:eastAsia="Times New Roman" w:cs="Calibri" w:ascii="Marianne" w:hAnsi="Marianne"/>
          <w:b w:val="false"/>
          <w:bCs w:val="false"/>
          <w:color w:val="000000"/>
          <w:sz w:val="12"/>
          <w:szCs w:val="12"/>
          <w:lang w:eastAsia="fr-FR"/>
        </w:rPr>
      </w:r>
    </w:p>
    <w:p>
      <w:pPr>
        <w:pStyle w:val="Normal"/>
        <w:spacing w:before="57" w:after="60"/>
        <w:jc w:val="both"/>
        <w:rPr>
          <w:rFonts w:ascii="Marianne" w:hAnsi="Marianne" w:eastAsia="Times New Roman" w:cs="Calibri"/>
          <w:b w:val="false"/>
          <w:bCs w:val="false"/>
          <w:color w:val="000000"/>
          <w:sz w:val="22"/>
          <w:szCs w:val="22"/>
          <w:lang w:eastAsia="fr-FR"/>
        </w:rPr>
      </w:pPr>
      <w:r>
        <w:rPr>
          <w:rFonts w:eastAsia="Times New Roman" w:cs="Calibri" w:ascii="Marianne" w:hAnsi="Marianne"/>
          <w:b w:val="false"/>
          <w:bCs w:val="false"/>
          <w:color w:val="000000"/>
          <w:sz w:val="22"/>
          <w:szCs w:val="22"/>
          <w:lang w:eastAsia="fr-FR"/>
        </w:rPr>
        <w:t>- Bonne compréhension des jalons et divers délais prévus au contrat : planning des livrables, mise en place des outils, des réunions, prise en charge des équipements</w:t>
      </w:r>
    </w:p>
    <w:p>
      <w:pPr>
        <w:pStyle w:val="ListParagraph"/>
        <w:keepNext w:val="true"/>
        <w:numPr>
          <w:ilvl w:val="0"/>
          <w:numId w:val="0"/>
        </w:numPr>
        <w:pBdr>
          <w:left w:val="single" w:sz="8" w:space="0" w:color="CCCCCC"/>
          <w:bottom w:val="single" w:sz="8" w:space="0" w:color="CCCCCC"/>
        </w:pBdr>
        <w:spacing w:lineRule="auto" w:line="240" w:before="227" w:after="0"/>
        <w:ind w:hanging="0" w:start="0"/>
        <w:contextualSpacing/>
        <w:outlineLvl w:val="1"/>
        <w:rPr>
          <w:rFonts w:ascii="Marianne" w:hAnsi="Marianne"/>
          <w:sz w:val="22"/>
          <w:szCs w:val="22"/>
        </w:rPr>
      </w:pPr>
      <w:bookmarkStart w:id="13" w:name="__RefHeading___Toc31169_1053230661"/>
      <w:bookmarkStart w:id="14" w:name="_Toc149656743"/>
      <w:bookmarkStart w:id="15" w:name="_Toc149656798"/>
      <w:bookmarkStart w:id="16" w:name="_Toc149656740"/>
      <w:bookmarkStart w:id="17" w:name="_Toc149656795"/>
      <w:bookmarkStart w:id="18" w:name="_Toc149656741"/>
      <w:bookmarkStart w:id="19" w:name="_Toc149656796"/>
      <w:bookmarkStart w:id="20" w:name="_Toc149656742"/>
      <w:bookmarkStart w:id="21" w:name="_Toc149656797"/>
      <w:bookmarkEnd w:id="13"/>
      <w:bookmarkEnd w:id="14"/>
      <w:bookmarkEnd w:id="15"/>
      <w:bookmarkEnd w:id="16"/>
      <w:bookmarkEnd w:id="17"/>
      <w:bookmarkEnd w:id="18"/>
      <w:bookmarkEnd w:id="19"/>
      <w:bookmarkEnd w:id="20"/>
      <w:bookmarkEnd w:id="21"/>
      <w:r>
        <w:rPr>
          <w:rFonts w:eastAsia="Times New Roman" w:cs="Arial" w:ascii="Marianne" w:hAnsi="Marianne"/>
          <w:b/>
          <w:bCs/>
          <w:sz w:val="22"/>
          <w:szCs w:val="22"/>
          <w:lang w:eastAsia="fr-FR"/>
        </w:rPr>
        <w:t xml:space="preserve">1.2 - </w:t>
      </w:r>
      <w:bookmarkStart w:id="22" w:name="_Toc151528607"/>
      <w:bookmarkStart w:id="23" w:name="_Toc163579634"/>
      <w:r>
        <w:rPr>
          <w:rFonts w:eastAsia="Times New Roman" w:cs="Arial" w:ascii="Marianne" w:hAnsi="Marianne"/>
          <w:b/>
          <w:bCs/>
          <w:sz w:val="22"/>
          <w:szCs w:val="22"/>
          <w:lang w:eastAsia="fr-FR"/>
        </w:rPr>
        <w:t>Pertinence de l’offre au regard des moyens mis en œuvre </w:t>
      </w:r>
      <w:r>
        <w:rPr>
          <w:rFonts w:eastAsia="Times New Roman" w:cs="Arial" w:ascii="Marianne" w:hAnsi="Marianne"/>
          <w:b/>
          <w:bCs/>
          <w:sz w:val="22"/>
          <w:szCs w:val="22"/>
          <w:lang w:eastAsia="fr-FR"/>
        </w:rPr>
        <w:t>(15%)</w:t>
      </w:r>
      <w:r>
        <w:rPr>
          <w:rFonts w:eastAsia="Times New Roman" w:cs="Arial" w:ascii="Marianne" w:hAnsi="Marianne"/>
          <w:b/>
          <w:bCs/>
          <w:sz w:val="22"/>
          <w:szCs w:val="22"/>
          <w:lang w:eastAsia="fr-FR"/>
        </w:rPr>
        <w:t xml:space="preserve"> </w:t>
      </w:r>
      <w:bookmarkEnd w:id="22"/>
      <w:bookmarkEnd w:id="23"/>
    </w:p>
    <w:p>
      <w:pPr>
        <w:pStyle w:val="Normal"/>
        <w:spacing w:lineRule="auto" w:line="240" w:before="0"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p>
      <w:pPr>
        <w:pStyle w:val="Normal"/>
        <w:spacing w:lineRule="auto" w:line="240" w:before="57" w:after="0"/>
        <w:jc w:val="both"/>
        <w:rPr>
          <w:rFonts w:ascii="Marianne" w:hAnsi="Marianne" w:eastAsia="Times New Roman" w:cs="Arial"/>
          <w:color w:val="000000"/>
          <w:sz w:val="22"/>
          <w:szCs w:val="22"/>
          <w:lang w:eastAsia="fr-FR"/>
        </w:rPr>
      </w:pPr>
      <w:r>
        <w:rPr>
          <w:rFonts w:eastAsia="Times New Roman" w:cs="Arial" w:ascii="Marianne" w:hAnsi="Marianne"/>
          <w:color w:val="000000"/>
          <w:sz w:val="22"/>
          <w:szCs w:val="22"/>
          <w:lang w:eastAsia="fr-FR"/>
        </w:rPr>
        <w:t>- Pertinence des moyens et ressources envisagées : organisation des interventions en préventif et en correctif et pour le programme de travaux, gestion des demandes d’intervention (procédure, outil centre d’appel), traçabilité,</w:t>
      </w:r>
    </w:p>
    <w:p>
      <w:pPr>
        <w:pStyle w:val="Normal"/>
        <w:spacing w:lineRule="auto" w:line="240" w:before="0" w:after="0"/>
        <w:jc w:val="both"/>
        <w:rPr>
          <w:rFonts w:ascii="Marianne" w:hAnsi="Marianne" w:eastAsia="Times New Roman" w:cs="Arial"/>
          <w:color w:val="000000"/>
          <w:sz w:val="22"/>
          <w:szCs w:val="22"/>
          <w:lang w:eastAsia="fr-FR"/>
        </w:rPr>
      </w:pPr>
      <w:r>
        <w:rPr>
          <w:rFonts w:eastAsia="Times New Roman" w:cs="Arial" w:ascii="Marianne" w:hAnsi="Marianne"/>
          <w:color w:val="000000"/>
          <w:sz w:val="22"/>
          <w:szCs w:val="22"/>
          <w:lang w:eastAsia="fr-FR"/>
        </w:rPr>
      </w:r>
    </w:p>
    <w:p>
      <w:pPr>
        <w:pStyle w:val="Normal"/>
        <w:spacing w:lineRule="auto" w:line="240" w:before="57" w:after="0"/>
        <w:jc w:val="both"/>
        <w:rPr>
          <w:rFonts w:ascii="Marianne" w:hAnsi="Marianne" w:eastAsia="Times New Roman" w:cs="Arial"/>
          <w:color w:val="000000"/>
          <w:sz w:val="22"/>
          <w:szCs w:val="22"/>
          <w:lang w:eastAsia="fr-FR"/>
        </w:rPr>
      </w:pPr>
      <w:r>
        <w:rPr>
          <w:rFonts w:eastAsia="Times New Roman" w:cs="Arial" w:ascii="Marianne" w:hAnsi="Marianne"/>
          <w:color w:val="000000"/>
          <w:sz w:val="22"/>
          <w:szCs w:val="22"/>
          <w:lang w:eastAsia="fr-FR"/>
        </w:rPr>
        <w:t>- Modalités de gestion de l’astreinte</w:t>
      </w:r>
    </w:p>
    <w:p>
      <w:pPr>
        <w:pStyle w:val="Normal"/>
        <w:spacing w:lineRule="auto" w:line="240" w:before="0" w:after="0"/>
        <w:jc w:val="both"/>
        <w:rPr>
          <w:rFonts w:ascii="Marianne" w:hAnsi="Marianne" w:eastAsia="Times New Roman" w:cs="Arial"/>
          <w:color w:val="000000"/>
          <w:sz w:val="22"/>
          <w:szCs w:val="22"/>
          <w:lang w:eastAsia="fr-FR"/>
        </w:rPr>
      </w:pPr>
      <w:r>
        <w:rPr>
          <w:rFonts w:eastAsia="Times New Roman" w:cs="Arial" w:ascii="Marianne" w:hAnsi="Marianne"/>
          <w:color w:val="000000"/>
          <w:sz w:val="22"/>
          <w:szCs w:val="22"/>
          <w:lang w:eastAsia="fr-FR"/>
        </w:rPr>
      </w:r>
    </w:p>
    <w:p>
      <w:pPr>
        <w:pStyle w:val="Normal"/>
        <w:spacing w:lineRule="auto" w:line="240" w:before="57" w:after="0"/>
        <w:jc w:val="both"/>
        <w:rPr>
          <w:rFonts w:ascii="Marianne" w:hAnsi="Marianne" w:eastAsia="Times New Roman" w:cs="Arial"/>
          <w:color w:val="000000"/>
          <w:sz w:val="22"/>
          <w:szCs w:val="22"/>
          <w:lang w:eastAsia="fr-FR"/>
        </w:rPr>
      </w:pPr>
      <w:r>
        <w:rPr>
          <w:rFonts w:eastAsia="Times New Roman" w:cs="Arial" w:ascii="Marianne" w:hAnsi="Marianne"/>
          <w:color w:val="000000"/>
          <w:sz w:val="22"/>
          <w:szCs w:val="22"/>
          <w:lang w:eastAsia="fr-FR"/>
        </w:rPr>
        <w:t>- Outillage, moyens matériels et moyens mis en œuvre pour la maitrise des délais d’approvisionnement</w:t>
      </w:r>
    </w:p>
    <w:p>
      <w:pPr>
        <w:pStyle w:val="ListParagraph"/>
        <w:keepNext w:val="true"/>
        <w:widowControl/>
        <w:numPr>
          <w:ilvl w:val="0"/>
          <w:numId w:val="0"/>
        </w:numPr>
        <w:pBdr>
          <w:left w:val="single" w:sz="8" w:space="0" w:color="CCCCCC"/>
          <w:bottom w:val="single" w:sz="8" w:space="0" w:color="CCCCCC"/>
        </w:pBdr>
        <w:suppressAutoHyphens w:val="true"/>
        <w:bidi w:val="0"/>
        <w:spacing w:lineRule="auto" w:line="240" w:before="227" w:after="0"/>
        <w:ind w:hanging="0" w:start="0"/>
        <w:contextualSpacing/>
        <w:jc w:val="start"/>
        <w:outlineLvl w:val="1"/>
        <w:rPr>
          <w:rFonts w:ascii="Marianne" w:hAnsi="Marianne" w:eastAsia="Times New Roman" w:cs="Arial"/>
          <w:sz w:val="22"/>
          <w:szCs w:val="22"/>
          <w:lang w:eastAsia="fr-FR"/>
        </w:rPr>
      </w:pPr>
      <w:bookmarkStart w:id="24" w:name="__RefHeading___Toc31169_1053230661_Copie"/>
      <w:bookmarkEnd w:id="24"/>
      <w:r>
        <w:rPr>
          <w:rFonts w:eastAsia="Times New Roman" w:cs="Arial" w:ascii="Marianne" w:hAnsi="Marianne"/>
          <w:b/>
          <w:bCs/>
          <w:color w:val="auto"/>
          <w:kern w:val="0"/>
          <w:sz w:val="22"/>
          <w:szCs w:val="22"/>
          <w:lang w:val="fr-FR" w:eastAsia="fr-FR" w:bidi="ar-SA"/>
        </w:rPr>
        <w:t xml:space="preserve">1.3 - </w:t>
      </w:r>
      <w:r>
        <w:rPr>
          <w:rFonts w:eastAsia="Times New Roman" w:cs="Arial" w:ascii="Marianne" w:hAnsi="Marianne"/>
          <w:b/>
          <w:bCs/>
          <w:color w:val="auto"/>
          <w:kern w:val="0"/>
          <w:sz w:val="22"/>
          <w:szCs w:val="22"/>
          <w:lang w:val="fr-FR" w:eastAsia="fr-FR" w:bidi="ar-SA"/>
        </w:rPr>
        <w:t>Prise en charge des installations</w:t>
      </w:r>
      <w:bookmarkStart w:id="25" w:name="_Toc151528607_Copie_1"/>
      <w:bookmarkStart w:id="26" w:name="_Toc163579634_Copie_1"/>
      <w:r>
        <w:rPr>
          <w:rFonts w:eastAsia="Times New Roman" w:cs="Arial" w:ascii="Marianne" w:hAnsi="Marianne"/>
          <w:b/>
          <w:bCs/>
          <w:color w:val="auto"/>
          <w:kern w:val="0"/>
          <w:sz w:val="22"/>
          <w:szCs w:val="22"/>
          <w:lang w:val="fr-FR" w:eastAsia="fr-FR" w:bidi="ar-SA"/>
        </w:rPr>
        <w:t> </w:t>
      </w:r>
      <w:bookmarkEnd w:id="25"/>
      <w:bookmarkEnd w:id="26"/>
      <w:r>
        <w:rPr>
          <w:rFonts w:eastAsia="Times New Roman" w:cs="Arial" w:ascii="Marianne" w:hAnsi="Marianne"/>
          <w:b/>
          <w:bCs/>
          <w:color w:val="auto"/>
          <w:kern w:val="0"/>
          <w:sz w:val="22"/>
          <w:szCs w:val="22"/>
          <w:lang w:val="fr-FR" w:eastAsia="fr-FR" w:bidi="ar-SA"/>
        </w:rPr>
        <w:t>(15%)</w:t>
      </w:r>
    </w:p>
    <w:p>
      <w:pPr>
        <w:pStyle w:val="Normal"/>
        <w:tabs>
          <w:tab w:val="clear" w:pos="709"/>
          <w:tab w:val="left" w:pos="5529" w:leader="none"/>
        </w:tabs>
        <w:spacing w:lineRule="auto" w:line="240" w:before="136"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 Pertinence et niveau de détails des redevances P2</w:t>
      </w:r>
    </w:p>
    <w:p>
      <w:pPr>
        <w:pStyle w:val="Normal"/>
        <w:tabs>
          <w:tab w:val="clear" w:pos="709"/>
          <w:tab w:val="left" w:pos="5529" w:leader="none"/>
        </w:tabs>
        <w:spacing w:lineRule="auto" w:line="240" w:before="136"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 Pertinence et niveau de détails des redevances P3</w:t>
      </w:r>
    </w:p>
    <w:p>
      <w:pPr>
        <w:pStyle w:val="Normal"/>
        <w:tabs>
          <w:tab w:val="clear" w:pos="709"/>
          <w:tab w:val="left" w:pos="5529" w:leader="none"/>
        </w:tabs>
        <w:spacing w:lineRule="auto" w:line="240" w:before="136"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 Pertinence du programme de travaux P3R</w:t>
      </w:r>
    </w:p>
    <w:p>
      <w:pPr>
        <w:pStyle w:val="Normal"/>
        <w:tabs>
          <w:tab w:val="clear" w:pos="709"/>
          <w:tab w:val="left" w:pos="5529" w:leader="none"/>
        </w:tabs>
        <w:spacing w:lineRule="auto" w:line="240" w:before="0" w:after="0"/>
        <w:jc w:val="both"/>
        <w:rPr>
          <w:rFonts w:ascii="Marianne" w:hAnsi="Marianne" w:eastAsia="Times New Roman" w:cs="Arial"/>
          <w:sz w:val="12"/>
          <w:szCs w:val="12"/>
          <w:lang w:eastAsia="fr-FR"/>
        </w:rPr>
      </w:pPr>
      <w:r>
        <w:rPr>
          <w:rFonts w:eastAsia="Times New Roman" w:cs="Arial" w:ascii="Marianne" w:hAnsi="Marianne"/>
          <w:sz w:val="12"/>
          <w:szCs w:val="12"/>
          <w:lang w:eastAsia="fr-FR"/>
        </w:rPr>
      </w:r>
    </w:p>
    <w:p>
      <w:pPr>
        <w:pStyle w:val="ListParagraph"/>
        <w:keepNext w:val="true"/>
        <w:numPr>
          <w:ilvl w:val="0"/>
          <w:numId w:val="2"/>
        </w:numPr>
        <w:pBdr>
          <w:top w:val="single" w:sz="8" w:space="1" w:color="CCCCCC"/>
          <w:left w:val="single" w:sz="8" w:space="1" w:color="CCCCCC"/>
          <w:bottom w:val="single" w:sz="8" w:space="1" w:color="CCCCCC"/>
          <w:right w:val="single" w:sz="8" w:space="1" w:color="CCCCCC"/>
        </w:pBdr>
        <w:shd w:val="clear" w:color="auto" w:fill="CCCCCC"/>
        <w:spacing w:lineRule="auto" w:line="240" w:before="136" w:after="0"/>
        <w:contextualSpacing/>
        <w:outlineLvl w:val="0"/>
        <w:rPr>
          <w:rFonts w:ascii="Marianne" w:hAnsi="Marianne"/>
          <w:sz w:val="22"/>
          <w:szCs w:val="22"/>
        </w:rPr>
      </w:pPr>
      <w:bookmarkStart w:id="27" w:name="__RefHeading___Toc31171_1053230661_Copie"/>
      <w:bookmarkEnd w:id="27"/>
      <w:r>
        <w:rPr>
          <w:rFonts w:eastAsia="Times New Roman" w:cs="Arial" w:ascii="Marianne" w:hAnsi="Marianne"/>
          <w:b/>
          <w:bCs/>
          <w:kern w:val="2"/>
          <w:sz w:val="22"/>
          <w:szCs w:val="22"/>
          <w:lang w:eastAsia="fr-FR"/>
        </w:rPr>
        <w:t xml:space="preserve">Pour rappel - Critère d’attribution n° 2 - </w:t>
      </w:r>
      <w:bookmarkStart w:id="28" w:name="_Toc151528605_Copie_1"/>
      <w:bookmarkStart w:id="29" w:name="_Toc158714002_Copie_1"/>
      <w:bookmarkStart w:id="30" w:name="_Toc163579635_Copie_1"/>
      <w:r>
        <w:rPr>
          <w:rFonts w:eastAsia="Times New Roman" w:cs="Arial" w:ascii="Marianne" w:hAnsi="Marianne"/>
          <w:b/>
          <w:bCs/>
          <w:kern w:val="2"/>
          <w:sz w:val="22"/>
          <w:szCs w:val="22"/>
          <w:lang w:eastAsia="fr-FR"/>
        </w:rPr>
        <w:t xml:space="preserve">Valeur </w:t>
      </w:r>
      <w:r>
        <w:rPr>
          <w:rFonts w:eastAsia="Times New Roman" w:cs="Arial" w:ascii="Marianne" w:hAnsi="Marianne"/>
          <w:b/>
          <w:bCs/>
          <w:kern w:val="2"/>
          <w:sz w:val="22"/>
          <w:szCs w:val="22"/>
          <w:lang w:eastAsia="fr-FR"/>
        </w:rPr>
        <w:t xml:space="preserve">financière </w:t>
      </w:r>
      <w:r>
        <w:rPr>
          <w:rFonts w:eastAsia="Times New Roman" w:cs="Arial" w:ascii="Marianne" w:hAnsi="Marianne"/>
          <w:b/>
          <w:bCs/>
          <w:kern w:val="2"/>
          <w:sz w:val="22"/>
          <w:szCs w:val="22"/>
          <w:lang w:eastAsia="fr-FR"/>
        </w:rPr>
        <w:t xml:space="preserve">de l’offre : </w:t>
      </w:r>
      <w:bookmarkEnd w:id="28"/>
      <w:bookmarkEnd w:id="29"/>
      <w:bookmarkEnd w:id="30"/>
      <w:r>
        <w:rPr>
          <w:rFonts w:eastAsia="Times New Roman" w:cs="Arial" w:ascii="Marianne" w:hAnsi="Marianne"/>
          <w:b/>
          <w:bCs/>
          <w:kern w:val="2"/>
          <w:sz w:val="22"/>
          <w:szCs w:val="22"/>
          <w:lang w:eastAsia="fr-FR"/>
        </w:rPr>
        <w:t>40</w:t>
      </w:r>
      <w:r>
        <w:rPr>
          <w:rFonts w:eastAsia="Times New Roman" w:cs="Arial" w:ascii="Marianne" w:hAnsi="Marianne"/>
          <w:b/>
          <w:bCs/>
          <w:kern w:val="2"/>
          <w:sz w:val="22"/>
          <w:szCs w:val="22"/>
          <w:lang w:eastAsia="fr-FR"/>
        </w:rPr>
        <w:t>%</w:t>
      </w:r>
    </w:p>
    <w:p>
      <w:pPr>
        <w:pStyle w:val="Normal"/>
        <w:tabs>
          <w:tab w:val="clear" w:pos="709"/>
          <w:tab w:val="left" w:pos="5529" w:leader="none"/>
        </w:tabs>
        <w:spacing w:lineRule="auto" w:line="240" w:before="136"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A titre indicatif, rappel de la notation sur le critère :</w:t>
      </w:r>
    </w:p>
    <w:p>
      <w:pPr>
        <w:pStyle w:val="Normal"/>
        <w:tabs>
          <w:tab w:val="clear" w:pos="709"/>
          <w:tab w:val="left" w:pos="5529" w:leader="none"/>
        </w:tabs>
        <w:spacing w:lineRule="auto" w:line="240" w:before="0"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tbl>
      <w:tblPr>
        <w:tblW w:w="5000" w:type="pct"/>
        <w:jc w:val="start"/>
        <w:tblInd w:w="0" w:type="dxa"/>
        <w:tblLayout w:type="fixed"/>
        <w:tblCellMar>
          <w:top w:w="55" w:type="dxa"/>
          <w:start w:w="55" w:type="dxa"/>
          <w:bottom w:w="55" w:type="dxa"/>
          <w:end w:w="55" w:type="dxa"/>
        </w:tblCellMar>
      </w:tblPr>
      <w:tblGrid>
        <w:gridCol w:w="9923"/>
      </w:tblGrid>
      <w:tr>
        <w:trPr/>
        <w:tc>
          <w:tcPr>
            <w:tcW w:w="9923" w:type="dxa"/>
            <w:tcBorders>
              <w:top w:val="single" w:sz="2" w:space="0" w:color="000000"/>
              <w:start w:val="single" w:sz="2" w:space="0" w:color="000000"/>
              <w:bottom w:val="single" w:sz="2" w:space="0" w:color="000000"/>
              <w:end w:val="single" w:sz="2" w:space="0" w:color="000000"/>
            </w:tcBorders>
            <w:shd w:fill="26A69A" w:val="clear"/>
            <w:vAlign w:val="center"/>
          </w:tcPr>
          <w:p>
            <w:pPr>
              <w:pStyle w:val="Normal"/>
              <w:tabs>
                <w:tab w:val="clear" w:pos="709"/>
                <w:tab w:val="left" w:pos="338" w:leader="none"/>
                <w:tab w:val="left" w:pos="400" w:leader="none"/>
                <w:tab w:val="left" w:pos="788" w:leader="none"/>
              </w:tabs>
              <w:snapToGrid w:val="false"/>
              <w:spacing w:before="0" w:after="0"/>
              <w:ind w:hanging="0" w:start="0" w:end="0"/>
              <w:jc w:val="center"/>
              <w:textAlignment w:val="center"/>
              <w:rPr>
                <w:rFonts w:ascii="Marianne" w:hAnsi="Marianne"/>
                <w:b w:val="false"/>
                <w:bCs/>
                <w:i w:val="false"/>
                <w:iCs w:val="false"/>
                <w:strike w:val="false"/>
                <w:dstrike w:val="false"/>
                <w:color w:val="FFFFFF"/>
                <w:sz w:val="22"/>
                <w:szCs w:val="22"/>
                <w:u w:val="none"/>
                <w:shd w:fill="auto" w:val="clear"/>
                <w:lang w:val="fr-FR" w:eastAsia="zxx" w:bidi="zxx"/>
              </w:rPr>
            </w:pPr>
            <w:r>
              <w:rPr>
                <w:rFonts w:ascii="Marianne" w:hAnsi="Marianne"/>
                <w:b w:val="false"/>
                <w:bCs/>
                <w:i w:val="false"/>
                <w:iCs w:val="false"/>
                <w:strike w:val="false"/>
                <w:dstrike w:val="false"/>
                <w:color w:val="FFFFFF"/>
                <w:sz w:val="22"/>
                <w:szCs w:val="22"/>
                <w:u w:val="none"/>
                <w:shd w:fill="auto" w:val="clear"/>
                <w:lang w:val="fr-FR" w:eastAsia="zxx" w:bidi="zxx"/>
              </w:rPr>
              <w:t>Le prix global des prestations correspond à la somme des redevances P2, P3, P3R.</w:t>
            </w:r>
          </w:p>
        </w:tc>
      </w:tr>
      <w:tr>
        <w:trPr/>
        <w:tc>
          <w:tcPr>
            <w:tcW w:w="9923" w:type="dxa"/>
            <w:tcBorders>
              <w:start w:val="single" w:sz="2" w:space="0" w:color="000000"/>
              <w:bottom w:val="single" w:sz="2" w:space="0" w:color="000000"/>
              <w:end w:val="single" w:sz="2" w:space="0" w:color="000000"/>
            </w:tcBorders>
          </w:tcPr>
          <w:p>
            <w:pPr>
              <w:pStyle w:val="Normal"/>
              <w:tabs>
                <w:tab w:val="clear" w:pos="709"/>
                <w:tab w:val="left" w:pos="338" w:leader="none"/>
                <w:tab w:val="left" w:pos="400" w:leader="none"/>
                <w:tab w:val="left" w:pos="788" w:leader="none"/>
              </w:tabs>
              <w:snapToGrid w:val="false"/>
              <w:spacing w:before="57" w:after="0"/>
              <w:ind w:hanging="0" w:start="0" w:end="0"/>
              <w:jc w:val="center"/>
              <w:textAlignment w:val="center"/>
              <w:rPr>
                <w:rFonts w:ascii="Marianne" w:hAnsi="Marianne"/>
                <w:sz w:val="22"/>
                <w:szCs w:val="22"/>
              </w:rPr>
            </w:pPr>
            <w:r>
              <w:rPr>
                <w:rFonts w:ascii="Marianne" w:hAnsi="Marianne"/>
                <w:b w:val="false"/>
                <w:i w:val="false"/>
                <w:color w:val="000000"/>
                <w:sz w:val="22"/>
                <w:szCs w:val="22"/>
                <w:shd w:fill="FFFFFF" w:val="clear"/>
                <w:lang w:val="fr-FR"/>
              </w:rPr>
              <w:t xml:space="preserve">(Prix du moins-disant /Prix du candidat) </w:t>
            </w:r>
            <w:r>
              <w:rPr>
                <w:rFonts w:ascii="Marianne" w:hAnsi="Marianne"/>
                <w:b w:val="false"/>
                <w:i w:val="false"/>
                <w:color w:val="000000"/>
                <w:sz w:val="22"/>
                <w:szCs w:val="22"/>
                <w:shd w:fill="FFFFFF" w:val="clear"/>
                <w:lang w:val="fr-FR"/>
              </w:rPr>
              <w:t>* 5</w:t>
            </w:r>
          </w:p>
        </w:tc>
      </w:tr>
    </w:tbl>
    <w:p>
      <w:pPr>
        <w:pStyle w:val="Normal"/>
        <w:tabs>
          <w:tab w:val="clear" w:pos="709"/>
          <w:tab w:val="left" w:pos="5529" w:leader="none"/>
        </w:tabs>
        <w:spacing w:lineRule="auto" w:line="240" w:before="136"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Pour l'appréciation du critère prix, la meilleure offre, après élimination des offres anormalement basses en application de l’article R2152-3 du code de la commande publique, déterminera la note maximale sur ce critère et servira de référence pour la notation des autres offres.</w:t>
      </w:r>
    </w:p>
    <w:p>
      <w:pPr>
        <w:pStyle w:val="Normal"/>
        <w:tabs>
          <w:tab w:val="clear" w:pos="709"/>
          <w:tab w:val="left" w:pos="5529" w:leader="none"/>
        </w:tabs>
        <w:spacing w:lineRule="auto" w:line="240" w:before="136"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Ainsi, l’offre moins-disante obtiendra une note de 5 points pondérés à 40 %.</w:t>
      </w:r>
    </w:p>
    <w:p>
      <w:pPr>
        <w:pStyle w:val="Normal"/>
        <w:tabs>
          <w:tab w:val="clear" w:pos="709"/>
          <w:tab w:val="left" w:pos="5529" w:leader="none"/>
        </w:tabs>
        <w:spacing w:lineRule="auto" w:line="240" w:before="136" w:after="0"/>
        <w:jc w:val="both"/>
        <w:rPr>
          <w:rFonts w:ascii="Marianne" w:hAnsi="Marianne" w:eastAsia="Times New Roman" w:cs="Arial"/>
          <w:b/>
          <w:bCs/>
          <w:color w:val="F10D0C"/>
          <w:sz w:val="22"/>
          <w:szCs w:val="22"/>
          <w:lang w:eastAsia="fr-FR"/>
        </w:rPr>
      </w:pPr>
      <w:r>
        <w:rPr>
          <w:rFonts w:eastAsia="Times New Roman" w:cs="Arial" w:ascii="Marianne" w:hAnsi="Marianne"/>
          <w:b/>
          <w:bCs/>
          <w:color w:val="F10D0C"/>
          <w:sz w:val="22"/>
          <w:szCs w:val="22"/>
          <w:lang w:eastAsia="fr-FR"/>
        </w:rPr>
        <w:t>=&gt; Veillez à bien compléter l’annexe financière 1 de l’acte d’engagement afin de pouvoir remplir les conditions de ce critère d’attribution.</w:t>
      </w:r>
    </w:p>
    <w:p>
      <w:pPr>
        <w:pStyle w:val="ListParagraph"/>
        <w:keepNext w:val="true"/>
        <w:numPr>
          <w:ilvl w:val="0"/>
          <w:numId w:val="2"/>
        </w:numPr>
        <w:pBdr>
          <w:top w:val="single" w:sz="8" w:space="1" w:color="CCCCCC"/>
          <w:left w:val="single" w:sz="8" w:space="1" w:color="CCCCCC"/>
          <w:bottom w:val="single" w:sz="8" w:space="1" w:color="CCCCCC"/>
          <w:right w:val="single" w:sz="8" w:space="1" w:color="CCCCCC"/>
        </w:pBdr>
        <w:shd w:val="clear" w:color="auto" w:fill="CCCCCC"/>
        <w:spacing w:lineRule="auto" w:line="240" w:before="136" w:after="0"/>
        <w:contextualSpacing/>
        <w:outlineLvl w:val="0"/>
        <w:rPr>
          <w:rFonts w:ascii="Marianne" w:hAnsi="Marianne"/>
          <w:sz w:val="22"/>
          <w:szCs w:val="22"/>
        </w:rPr>
      </w:pPr>
      <w:bookmarkStart w:id="31" w:name="__RefHeading___Toc31171_1053230661"/>
      <w:bookmarkEnd w:id="31"/>
      <w:r>
        <w:rPr>
          <w:rFonts w:eastAsia="Times New Roman" w:cs="Arial" w:ascii="Marianne" w:hAnsi="Marianne"/>
          <w:b/>
          <w:bCs/>
          <w:kern w:val="2"/>
          <w:sz w:val="22"/>
          <w:szCs w:val="22"/>
          <w:lang w:eastAsia="fr-FR"/>
        </w:rPr>
        <w:t xml:space="preserve">Critère d’attribution n° 3 - </w:t>
      </w:r>
      <w:bookmarkStart w:id="32" w:name="_Toc151528605"/>
      <w:bookmarkStart w:id="33" w:name="_Toc158714002"/>
      <w:bookmarkStart w:id="34" w:name="_Toc163579635"/>
      <w:r>
        <w:rPr>
          <w:rFonts w:eastAsia="Times New Roman" w:cs="Arial" w:ascii="Marianne" w:hAnsi="Marianne"/>
          <w:b/>
          <w:bCs/>
          <w:kern w:val="2"/>
          <w:sz w:val="22"/>
          <w:szCs w:val="22"/>
          <w:lang w:eastAsia="fr-FR"/>
        </w:rPr>
        <w:t xml:space="preserve">Valeur environnementale de l’offre : </w:t>
      </w:r>
      <w:bookmarkEnd w:id="32"/>
      <w:bookmarkEnd w:id="33"/>
      <w:bookmarkEnd w:id="34"/>
      <w:r>
        <w:rPr>
          <w:rFonts w:eastAsia="Times New Roman" w:cs="Arial" w:ascii="Marianne" w:hAnsi="Marianne"/>
          <w:b/>
          <w:bCs/>
          <w:kern w:val="2"/>
          <w:sz w:val="22"/>
          <w:szCs w:val="22"/>
          <w:lang w:eastAsia="fr-FR"/>
        </w:rPr>
        <w:t>15</w:t>
      </w:r>
      <w:r>
        <w:rPr>
          <w:rFonts w:eastAsia="Times New Roman" w:cs="Arial" w:ascii="Marianne" w:hAnsi="Marianne"/>
          <w:b/>
          <w:bCs/>
          <w:kern w:val="2"/>
          <w:sz w:val="22"/>
          <w:szCs w:val="22"/>
          <w:lang w:eastAsia="fr-FR"/>
        </w:rPr>
        <w:t> %</w:t>
      </w:r>
    </w:p>
    <w:p>
      <w:pPr>
        <w:pStyle w:val="Normal"/>
        <w:tabs>
          <w:tab w:val="clear" w:pos="709"/>
          <w:tab w:val="left" w:pos="5529" w:leader="none"/>
        </w:tabs>
        <w:spacing w:lineRule="auto" w:line="240" w:before="0" w:after="0"/>
        <w:jc w:val="both"/>
        <w:rPr>
          <w:rFonts w:ascii="Marianne" w:hAnsi="Marianne" w:eastAsia="Times New Roman" w:cs="Arial"/>
          <w:sz w:val="12"/>
          <w:szCs w:val="12"/>
          <w:lang w:eastAsia="fr-FR"/>
        </w:rPr>
      </w:pPr>
      <w:r>
        <w:rPr>
          <w:rFonts w:eastAsia="Times New Roman" w:cs="Arial" w:ascii="Marianne" w:hAnsi="Marianne"/>
          <w:sz w:val="12"/>
          <w:szCs w:val="12"/>
          <w:lang w:eastAsia="fr-FR"/>
        </w:rPr>
      </w:r>
    </w:p>
    <w:p>
      <w:pPr>
        <w:pStyle w:val="ListParagraph"/>
        <w:keepNext w:val="true"/>
        <w:numPr>
          <w:ilvl w:val="0"/>
          <w:numId w:val="0"/>
        </w:numPr>
        <w:pBdr>
          <w:left w:val="single" w:sz="8" w:space="0" w:color="CCCCCC"/>
          <w:bottom w:val="single" w:sz="8" w:space="0" w:color="CCCCCC"/>
        </w:pBdr>
        <w:spacing w:lineRule="auto" w:line="240" w:before="227" w:after="0"/>
        <w:ind w:hanging="0" w:start="0"/>
        <w:contextualSpacing/>
        <w:outlineLvl w:val="1"/>
        <w:rPr>
          <w:rFonts w:ascii="Marianne" w:hAnsi="Marianne" w:eastAsia="Times New Roman" w:cs="Arial"/>
          <w:sz w:val="22"/>
          <w:szCs w:val="22"/>
          <w:lang w:eastAsia="fr-FR"/>
        </w:rPr>
      </w:pPr>
      <w:bookmarkStart w:id="35" w:name="__RefHeading___Toc44920_3214857477"/>
      <w:bookmarkEnd w:id="35"/>
      <w:r>
        <w:rPr>
          <w:rFonts w:eastAsia="Times New Roman" w:cs="Arial" w:ascii="Marianne" w:hAnsi="Marianne"/>
          <w:b/>
          <w:bCs/>
          <w:sz w:val="22"/>
          <w:szCs w:val="22"/>
          <w:lang w:eastAsia="fr-FR"/>
        </w:rPr>
        <w:t xml:space="preserve">3.1 - </w:t>
      </w:r>
      <w:r>
        <w:rPr>
          <w:rFonts w:eastAsia="Times New Roman" w:cs="Arial" w:ascii="Marianne" w:hAnsi="Marianne"/>
          <w:b/>
          <w:bCs/>
          <w:sz w:val="22"/>
          <w:szCs w:val="22"/>
          <w:lang w:eastAsia="fr-FR"/>
        </w:rPr>
        <w:t>Sous-critère n°1 - Gestion des pertes de produits et utilisation de pièces reconditionnées</w:t>
      </w:r>
      <w:bookmarkStart w:id="36" w:name="_Hlk143610537"/>
      <w:bookmarkStart w:id="37" w:name="_Hlk152029435"/>
      <w:r>
        <w:rPr>
          <w:rFonts w:eastAsia="Times New Roman" w:cs="Arial" w:ascii="Marianne" w:hAnsi="Marianne"/>
          <w:b/>
          <w:bCs/>
          <w:sz w:val="22"/>
          <w:szCs w:val="22"/>
          <w:lang w:eastAsia="fr-FR"/>
        </w:rPr>
        <w:t xml:space="preserve"> </w:t>
      </w:r>
      <w:bookmarkEnd w:id="36"/>
      <w:bookmarkEnd w:id="37"/>
      <w:r>
        <w:rPr>
          <w:rFonts w:eastAsia="Times New Roman" w:cs="Arial" w:ascii="Marianne" w:hAnsi="Marianne"/>
          <w:b/>
          <w:bCs/>
          <w:sz w:val="22"/>
          <w:szCs w:val="22"/>
          <w:lang w:eastAsia="fr-FR"/>
        </w:rPr>
        <w:t>(10%)</w:t>
      </w:r>
    </w:p>
    <w:p>
      <w:pPr>
        <w:pStyle w:val="Normal"/>
        <w:tabs>
          <w:tab w:val="clear" w:pos="709"/>
          <w:tab w:val="left" w:pos="5529" w:leader="none"/>
        </w:tabs>
        <w:spacing w:lineRule="auto" w:line="240" w:before="0"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p>
      <w:pPr>
        <w:pStyle w:val="Normal"/>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 xml:space="preserve">- Qualité et performance de la gestion des déchets issus des prestations de maintenance, </w:t>
      </w:r>
      <w:r>
        <w:rPr>
          <w:rFonts w:eastAsia="Times New Roman" w:cs="Arial" w:ascii="Marianne" w:hAnsi="Marianne"/>
          <w:sz w:val="22"/>
          <w:szCs w:val="22"/>
          <w:lang w:eastAsia="fr-FR"/>
        </w:rPr>
        <w:t>g</w:t>
      </w:r>
      <w:r>
        <w:rPr>
          <w:rFonts w:eastAsia="Times New Roman" w:cs="Arial" w:ascii="Marianne" w:hAnsi="Marianne"/>
          <w:sz w:val="22"/>
          <w:szCs w:val="22"/>
          <w:lang w:eastAsia="fr-FR"/>
        </w:rPr>
        <w:t>estion des pertes de produits et utilisation de pièces reconditionnées :</w:t>
      </w:r>
    </w:p>
    <w:p>
      <w:pPr>
        <w:pStyle w:val="Normal"/>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p>
      <w:pPr>
        <w:pStyle w:val="Normal"/>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 candidat devra décrire précisément les mesures mises en œuvre pour assurer une gestion éco-responsable des déchets générés lors des interventions de maintenance préventive et corrective. Il devra notamment détailler :</w:t>
      </w:r>
    </w:p>
    <w:p>
      <w:pPr>
        <w:pStyle w:val="Normal"/>
        <w:numPr>
          <w:ilvl w:val="0"/>
          <w:numId w:val="5"/>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Les typologies de déchets concernés (DEEE, huiles usagées, emballages, déchets non dangereux, etc.) ;</w:t>
      </w:r>
    </w:p>
    <w:p>
      <w:pPr>
        <w:pStyle w:val="Normal"/>
        <w:numPr>
          <w:ilvl w:val="0"/>
          <w:numId w:val="5"/>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Les modalités de collecte, tri, transport, entreposage et traitement des déchets, en conformité avec la réglementation en vigueur et la hiérarchie des modes de traitement (préparation en vue de la réutilisation, recyclage, valorisation énergétique, élimination) ;</w:t>
      </w:r>
    </w:p>
    <w:p>
      <w:pPr>
        <w:pStyle w:val="Normal"/>
        <w:numPr>
          <w:ilvl w:val="0"/>
          <w:numId w:val="5"/>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 recours à des éco-organismes agréés ou à des systèmes individuels de gestion des déchets ;</w:t>
      </w:r>
    </w:p>
    <w:p>
      <w:pPr>
        <w:pStyle w:val="Normal"/>
        <w:numPr>
          <w:ilvl w:val="0"/>
          <w:numId w:val="5"/>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La traçabilité des déchets via la production des bordereaux de suivi des déchets (BSD) ;</w:t>
      </w:r>
    </w:p>
    <w:p>
      <w:pPr>
        <w:pStyle w:val="Normal"/>
        <w:numPr>
          <w:ilvl w:val="0"/>
          <w:numId w:val="5"/>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Les actions de prévention et de réduction des déchets mises en place (réduction des emballages, réemploi de pièces, etc.) ;</w:t>
      </w:r>
    </w:p>
    <w:p>
      <w:pPr>
        <w:pStyle w:val="Normal"/>
        <w:numPr>
          <w:ilvl w:val="0"/>
          <w:numId w:val="5"/>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 reporting annuel sur la gestion des déchets, incluant les tonnages collectés, les filières de traitement et les sites de valorisation ou d’élimination.</w:t>
      </w:r>
    </w:p>
    <w:p>
      <w:pPr>
        <w:pStyle w:val="ListParagraph"/>
        <w:keepNext w:val="true"/>
        <w:widowControl/>
        <w:numPr>
          <w:ilvl w:val="0"/>
          <w:numId w:val="0"/>
        </w:numPr>
        <w:pBdr>
          <w:left w:val="single" w:sz="8" w:space="0" w:color="CCCCCC"/>
          <w:bottom w:val="single" w:sz="8" w:space="0" w:color="CCCCCC"/>
        </w:pBdr>
        <w:suppressAutoHyphens w:val="true"/>
        <w:bidi w:val="0"/>
        <w:spacing w:lineRule="auto" w:line="240" w:before="227" w:after="0"/>
        <w:ind w:hanging="0" w:start="0"/>
        <w:contextualSpacing/>
        <w:jc w:val="start"/>
        <w:outlineLvl w:val="1"/>
        <w:rPr>
          <w:rFonts w:ascii="Marianne" w:hAnsi="Marianne" w:eastAsia="Times New Roman" w:cs="Arial"/>
          <w:sz w:val="22"/>
          <w:szCs w:val="22"/>
          <w:lang w:eastAsia="fr-FR"/>
        </w:rPr>
      </w:pPr>
      <w:bookmarkStart w:id="38" w:name="__RefHeading___Toc44922_3214857477"/>
      <w:bookmarkEnd w:id="38"/>
      <w:r>
        <w:rPr>
          <w:rFonts w:eastAsia="Times New Roman" w:cs="Arial" w:ascii="Marianne" w:hAnsi="Marianne"/>
          <w:b/>
          <w:bCs/>
          <w:color w:val="auto"/>
          <w:kern w:val="0"/>
          <w:sz w:val="22"/>
          <w:szCs w:val="22"/>
          <w:lang w:val="fr-FR" w:eastAsia="fr-FR" w:bidi="ar-SA"/>
        </w:rPr>
        <w:t xml:space="preserve">3.2 - </w:t>
      </w:r>
      <w:r>
        <w:rPr>
          <w:rFonts w:eastAsia="Times New Roman" w:cs="Arial" w:ascii="Marianne" w:hAnsi="Marianne"/>
          <w:b/>
          <w:bCs/>
          <w:color w:val="auto"/>
          <w:kern w:val="0"/>
          <w:sz w:val="22"/>
          <w:szCs w:val="22"/>
          <w:lang w:val="fr-FR" w:eastAsia="fr-FR" w:bidi="ar-SA"/>
        </w:rPr>
        <w:t xml:space="preserve">Sous-critère n°2 - </w:t>
      </w:r>
      <w:bookmarkStart w:id="39" w:name="_Hlk143610537_Copie_1"/>
      <w:bookmarkStart w:id="40" w:name="_Hlk152029435_Copie_1"/>
      <w:bookmarkEnd w:id="39"/>
      <w:bookmarkEnd w:id="40"/>
      <w:r>
        <w:rPr>
          <w:rFonts w:eastAsia="Times New Roman" w:cs="Arial" w:ascii="Marianne" w:hAnsi="Marianne"/>
          <w:b/>
          <w:bCs/>
          <w:color w:val="auto"/>
          <w:kern w:val="0"/>
          <w:sz w:val="22"/>
          <w:szCs w:val="22"/>
          <w:lang w:val="fr-FR" w:eastAsia="fr-FR" w:bidi="ar-SA"/>
        </w:rPr>
        <w:t xml:space="preserve">Gestion des dessertes pour l’optimisation des déplacements en lien avec les prestations du marché en maintenance préventive et corrective </w:t>
      </w:r>
      <w:r>
        <w:rPr>
          <w:rFonts w:eastAsia="Times New Roman" w:cs="Arial" w:ascii="Marianne" w:hAnsi="Marianne"/>
          <w:b/>
          <w:bCs/>
          <w:color w:val="auto"/>
          <w:kern w:val="0"/>
          <w:sz w:val="22"/>
          <w:szCs w:val="22"/>
          <w:lang w:val="fr-FR" w:eastAsia="fr-FR" w:bidi="ar-SA"/>
        </w:rPr>
        <w:t>(5%)</w:t>
      </w:r>
    </w:p>
    <w:p>
      <w:pPr>
        <w:pStyle w:val="Normal"/>
        <w:tabs>
          <w:tab w:val="clear" w:pos="709"/>
          <w:tab w:val="left" w:pos="5529" w:leader="none"/>
        </w:tabs>
        <w:spacing w:lineRule="auto" w:line="240" w:before="0"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p>
      <w:pPr>
        <w:pStyle w:val="Normal"/>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 Performance et durabilité de la gestion des dessertes liées à la flotte de véhicules :</w:t>
      </w:r>
    </w:p>
    <w:p>
      <w:pPr>
        <w:pStyle w:val="Normal"/>
        <w:tabs>
          <w:tab w:val="clear" w:pos="709"/>
          <w:tab w:val="left" w:pos="5529" w:leader="none"/>
        </w:tabs>
        <w:spacing w:lineRule="auto" w:line="240" w:before="0"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p>
      <w:pPr>
        <w:pStyle w:val="Normal"/>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 candidat devra présenter son organisation et ses pratiques en matière de gestion des déplacements et dessertes pour la réalisation des prestations de maintenance, en mettant l’accent sur :</w:t>
      </w:r>
    </w:p>
    <w:p>
      <w:pPr>
        <w:pStyle w:val="Normal"/>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r>
    </w:p>
    <w:p>
      <w:pPr>
        <w:pStyle w:val="Normal"/>
        <w:numPr>
          <w:ilvl w:val="0"/>
          <w:numId w:val="6"/>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L’optimisation des tournées et des itinéraires pour réduire les distances parcourues et les émissions de gaz à effet de serre ;</w:t>
      </w:r>
    </w:p>
    <w:p>
      <w:pPr>
        <w:pStyle w:val="Normal"/>
        <w:numPr>
          <w:ilvl w:val="0"/>
          <w:numId w:val="6"/>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La composition de la flotte de véhicules (type, motorisation, âge moyen, émissions polluantes) et les politiques de renouvellement visant à privilégier des véhicules à faibles émissions (électriques, hybrides, normes Euro récentes) ;</w:t>
      </w:r>
    </w:p>
    <w:p>
      <w:pPr>
        <w:pStyle w:val="Normal"/>
        <w:numPr>
          <w:ilvl w:val="0"/>
          <w:numId w:val="6"/>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Les mesures mises en place pour limiter l’impact environnemental des déplacements (formation des conducteurs à l’éco-conduite, suivi des consommations, maintenance préventive des véhicules) ;</w:t>
      </w:r>
    </w:p>
    <w:p>
      <w:pPr>
        <w:pStyle w:val="Normal"/>
        <w:numPr>
          <w:ilvl w:val="0"/>
          <w:numId w:val="6"/>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L’utilisation éventuelle de solutions alternatives (covoiturage, véhicules partagés, recours à des prestataires locaux) ;</w:t>
      </w:r>
    </w:p>
    <w:p>
      <w:pPr>
        <w:pStyle w:val="Normal"/>
        <w:numPr>
          <w:ilvl w:val="0"/>
          <w:numId w:val="6"/>
        </w:numPr>
        <w:tabs>
          <w:tab w:val="clear" w:pos="709"/>
          <w:tab w:val="left" w:pos="5529" w:leader="none"/>
        </w:tabs>
        <w:spacing w:lineRule="auto" w:line="240" w:before="57" w:after="0"/>
        <w:jc w:val="both"/>
        <w:rPr>
          <w:rFonts w:ascii="Marianne" w:hAnsi="Marianne" w:eastAsia="Times New Roman" w:cs="Arial"/>
          <w:sz w:val="22"/>
          <w:szCs w:val="22"/>
          <w:lang w:eastAsia="fr-FR"/>
        </w:rPr>
      </w:pPr>
      <w:r>
        <w:rPr>
          <w:rFonts w:eastAsia="Times New Roman" w:cs="Arial" w:ascii="Marianne" w:hAnsi="Marianne"/>
          <w:sz w:val="22"/>
          <w:szCs w:val="22"/>
          <w:lang w:eastAsia="fr-FR"/>
        </w:rPr>
        <w:t xml:space="preserve">La gestion des déplacements en heures creuses ou hors pics de circulation pour limiter les nuisances et optimiser les temps d’intervention. </w:t>
      </w:r>
    </w:p>
    <w:sectPr>
      <w:footerReference w:type="even" r:id="rId4"/>
      <w:footerReference w:type="default" r:id="rId5"/>
      <w:footerReference w:type="first" r:id="rId6"/>
      <w:type w:val="nextPage"/>
      <w:pgSz w:w="11906" w:h="16838"/>
      <w:pgMar w:left="1134" w:right="849" w:gutter="0" w:header="0" w:top="993"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roman"/>
    <w:pitch w:val="default"/>
  </w:font>
  <w:font w:name="Times New Roman">
    <w:charset w:val="01"/>
    <w:family w:val="roman"/>
    <w:pitch w:val="default"/>
  </w:font>
  <w:font w:name="Marianne">
    <w:charset w:val="01"/>
    <w:family w:val="roman"/>
    <w:pitch w:val="default"/>
  </w:font>
  <w:font w:name="Liberation Serif">
    <w:altName w:val="Times New Roman"/>
    <w:charset w:val="01"/>
    <w:family w:val="roman"/>
    <w:pitch w:val="default"/>
  </w:font>
  <w:font w:name="Arial">
    <w:charset w:val="01"/>
    <w:family w:val="swiss"/>
    <w:pitch w:val="default"/>
  </w:font>
  <w:font w:name="Segoe UI">
    <w:charset w:val="01"/>
    <w:family w:val="roman"/>
    <w:pitch w:val="default"/>
  </w:font>
  <w:font w:name="OpenSymbol">
    <w:altName w:val="Arial Unicode MS"/>
    <w:charset w:val="02"/>
    <w:family w:val="auto"/>
    <w:pitch w:val="default"/>
  </w:font>
  <w:font w:name="Marianne">
    <w:charset w:val="01"/>
    <w:family w:val="auto"/>
    <w:pitch w:val="default"/>
  </w:font>
  <w:font w:name="Liberation Sans">
    <w:altName w:val="Arial"/>
    <w:charset w:val="01"/>
    <w:family w:val="swiss"/>
    <w:pitch w:val="default"/>
  </w:font>
  <w:font w:name="Calibri Light">
    <w:charset w:val="01"/>
    <w:family w:val="roman"/>
    <w:pitch w:val="default"/>
  </w:font>
  <w:font w:name="Marianne">
    <w:charset w:val="01"/>
    <w:family w:val="modern"/>
    <w:pitch w:val="variable"/>
  </w:font>
  <w:font w:name="Marianne">
    <w:charset w:val="00" w:characterSet="windows-1252"/>
    <w:family w:val="modern"/>
    <w:pitch w:val="variable"/>
  </w:font>
  <w:font w:name="Courier New">
    <w:charset w:val="01"/>
    <w:family w:val="modern"/>
    <w:pitch w:val="fixed"/>
  </w:font>
  <w:font w:name="Wingdings">
    <w:charset w:val="02"/>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ascii="Arial" w:hAnsi="Arial" w:cs="Arial"/>
        <w:sz w:val="16"/>
        <w:szCs w:val="16"/>
      </w:rPr>
    </w:pPr>
    <w:r>
      <w:rPr>
        <w:rFonts w:cs="Arial" w:ascii="Marianne" w:hAnsi="Marianne"/>
        <w:sz w:val="16"/>
        <w:szCs w:val="16"/>
      </w:rPr>
      <w:t>Cadre de réponse</w:t>
    </w:r>
    <w:r>
      <w:rPr>
        <w:rFonts w:cs="Arial" w:ascii="Arial" w:hAnsi="Arial"/>
        <w:sz w:val="16"/>
        <w:szCs w:val="16"/>
      </w:rPr>
      <w:tab/>
      <w:t xml:space="preserve">                                                </w:t>
    </w:r>
    <w:r>
      <w:rPr>
        <w:rFonts w:cs="Arial" w:ascii="Arial" w:hAnsi="Arial"/>
        <w:sz w:val="16"/>
        <w:szCs w:val="16"/>
      </w:rPr>
      <w:t>2026CVCNOGENT</w:t>
    </w:r>
    <w:r>
      <w:rPr>
        <w:rFonts w:cs="Arial" w:ascii="Arial" w:hAnsi="Arial"/>
        <w:sz w:val="16"/>
        <w:szCs w:val="16"/>
      </w:rPr>
      <w:t xml:space="preserve">                             </w:t>
      <w:tab/>
      <w:tab/>
      <w:t xml:space="preserve">          </w:t>
    </w:r>
    <w:r>
      <w:rPr>
        <w:rFonts w:cs="Arial" w:ascii="Arial" w:hAnsi="Arial"/>
        <w:sz w:val="16"/>
        <w:szCs w:val="16"/>
      </w:rPr>
      <w:fldChar w:fldCharType="begin"/>
    </w:r>
    <w:r>
      <w:rPr>
        <w:rFonts w:cs="Arial" w:ascii="Arial" w:hAnsi="Arial"/>
        <w:sz w:val="16"/>
        <w:szCs w:val="16"/>
      </w:rPr>
      <w:instrText xml:space="preserve"> PAGE </w:instrText>
    </w:r>
    <w:r>
      <w:rPr>
        <w:rFonts w:cs="Arial" w:ascii="Arial" w:hAnsi="Arial"/>
        <w:sz w:val="16"/>
        <w:szCs w:val="16"/>
      </w:rPr>
      <w:fldChar w:fldCharType="separate"/>
    </w:r>
    <w:r>
      <w:rPr>
        <w:rFonts w:cs="Arial" w:ascii="Arial" w:hAnsi="Arial"/>
        <w:sz w:val="16"/>
        <w:szCs w:val="16"/>
      </w:rPr>
      <w:t>4</w:t>
    </w:r>
    <w:r>
      <w:rPr>
        <w:rFonts w:cs="Arial" w:ascii="Arial" w:hAnsi="Arial"/>
        <w:sz w:val="16"/>
        <w:szCs w:val="16"/>
      </w:rPr>
      <w:fldChar w:fldCharType="end"/>
    </w:r>
    <w:r>
      <w:rPr>
        <w:rFonts w:cs="Arial" w:ascii="Arial" w:hAnsi="Arial"/>
        <w:sz w:val="16"/>
        <w:szCs w:val="16"/>
      </w:rPr>
      <w:t>/</w:t>
    </w:r>
    <w:r>
      <w:rPr>
        <w:rFonts w:cs="Arial" w:ascii="Arial" w:hAnsi="Arial"/>
        <w:sz w:val="16"/>
        <w:szCs w:val="16"/>
      </w:rPr>
      <w:fldChar w:fldCharType="begin"/>
    </w:r>
    <w:r>
      <w:rPr>
        <w:rFonts w:cs="Arial" w:ascii="Arial" w:hAnsi="Arial"/>
        <w:sz w:val="16"/>
        <w:szCs w:val="16"/>
      </w:rPr>
      <w:instrText xml:space="preserve"> NUMPAGES </w:instrText>
    </w:r>
    <w:r>
      <w:rPr>
        <w:rFonts w:cs="Arial" w:ascii="Arial" w:hAnsi="Arial"/>
        <w:sz w:val="16"/>
        <w:szCs w:val="16"/>
      </w:rPr>
      <w:fldChar w:fldCharType="separate"/>
    </w:r>
    <w:r>
      <w:rPr>
        <w:rFonts w:cs="Arial" w:ascii="Arial" w:hAnsi="Arial"/>
        <w:sz w:val="16"/>
        <w:szCs w:val="16"/>
      </w:rPr>
      <w:t>4</w:t>
    </w:r>
    <w:r>
      <w:rPr>
        <w:rFonts w:cs="Arial" w:ascii="Arial" w:hAnsi="Arial"/>
        <w:sz w:val="16"/>
        <w:szCs w:val="16"/>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ascii="Arial" w:hAnsi="Arial" w:cs="Arial"/>
        <w:sz w:val="16"/>
        <w:szCs w:val="16"/>
      </w:rPr>
    </w:pPr>
    <w:r>
      <w:rPr>
        <w:rFonts w:cs="Arial" w:ascii="Marianne" w:hAnsi="Marianne"/>
        <w:sz w:val="16"/>
        <w:szCs w:val="16"/>
      </w:rPr>
      <w:t>Cadre de réponse</w:t>
    </w:r>
    <w:r>
      <w:rPr>
        <w:rFonts w:cs="Arial" w:ascii="Arial" w:hAnsi="Arial"/>
        <w:sz w:val="16"/>
        <w:szCs w:val="16"/>
      </w:rPr>
      <w:tab/>
      <w:t xml:space="preserve">                                                </w:t>
    </w:r>
    <w:r>
      <w:rPr>
        <w:rFonts w:cs="Arial" w:ascii="Arial" w:hAnsi="Arial"/>
        <w:sz w:val="16"/>
        <w:szCs w:val="16"/>
      </w:rPr>
      <w:t>2026CVCNOGENT</w:t>
    </w:r>
    <w:r>
      <w:rPr>
        <w:rFonts w:cs="Arial" w:ascii="Arial" w:hAnsi="Arial"/>
        <w:sz w:val="16"/>
        <w:szCs w:val="16"/>
      </w:rPr>
      <w:t xml:space="preserve">                             </w:t>
      <w:tab/>
      <w:tab/>
      <w:t xml:space="preserve">          </w:t>
    </w:r>
    <w:r>
      <w:rPr>
        <w:rFonts w:cs="Arial" w:ascii="Arial" w:hAnsi="Arial"/>
        <w:sz w:val="16"/>
        <w:szCs w:val="16"/>
      </w:rPr>
      <w:fldChar w:fldCharType="begin"/>
    </w:r>
    <w:r>
      <w:rPr>
        <w:rFonts w:cs="Arial" w:ascii="Arial" w:hAnsi="Arial"/>
        <w:sz w:val="16"/>
        <w:szCs w:val="16"/>
      </w:rPr>
      <w:instrText xml:space="preserve"> PAGE </w:instrText>
    </w:r>
    <w:r>
      <w:rPr>
        <w:rFonts w:cs="Arial" w:ascii="Arial" w:hAnsi="Arial"/>
        <w:sz w:val="16"/>
        <w:szCs w:val="16"/>
      </w:rPr>
      <w:fldChar w:fldCharType="separate"/>
    </w:r>
    <w:r>
      <w:rPr>
        <w:rFonts w:cs="Arial" w:ascii="Arial" w:hAnsi="Arial"/>
        <w:sz w:val="16"/>
        <w:szCs w:val="16"/>
      </w:rPr>
      <w:t>4</w:t>
    </w:r>
    <w:r>
      <w:rPr>
        <w:rFonts w:cs="Arial" w:ascii="Arial" w:hAnsi="Arial"/>
        <w:sz w:val="16"/>
        <w:szCs w:val="16"/>
      </w:rPr>
      <w:fldChar w:fldCharType="end"/>
    </w:r>
    <w:r>
      <w:rPr>
        <w:rFonts w:cs="Arial" w:ascii="Arial" w:hAnsi="Arial"/>
        <w:sz w:val="16"/>
        <w:szCs w:val="16"/>
      </w:rPr>
      <w:t>/</w:t>
    </w:r>
    <w:r>
      <w:rPr>
        <w:rFonts w:cs="Arial" w:ascii="Arial" w:hAnsi="Arial"/>
        <w:sz w:val="16"/>
        <w:szCs w:val="16"/>
      </w:rPr>
      <w:fldChar w:fldCharType="begin"/>
    </w:r>
    <w:r>
      <w:rPr>
        <w:rFonts w:cs="Arial" w:ascii="Arial" w:hAnsi="Arial"/>
        <w:sz w:val="16"/>
        <w:szCs w:val="16"/>
      </w:rPr>
      <w:instrText xml:space="preserve"> NUMPAGES </w:instrText>
    </w:r>
    <w:r>
      <w:rPr>
        <w:rFonts w:cs="Arial" w:ascii="Arial" w:hAnsi="Arial"/>
        <w:sz w:val="16"/>
        <w:szCs w:val="16"/>
      </w:rPr>
      <w:fldChar w:fldCharType="separate"/>
    </w:r>
    <w:r>
      <w:rPr>
        <w:rFonts w:cs="Arial" w:ascii="Arial" w:hAnsi="Arial"/>
        <w:sz w:val="16"/>
        <w:szCs w:val="16"/>
      </w:rPr>
      <w:t>4</w:t>
    </w:r>
    <w:r>
      <w:rPr>
        <w:rFonts w:cs="Arial" w:ascii="Arial" w:hAnsi="Arial"/>
        <w:sz w:val="16"/>
        <w:szCs w:val="16"/>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1352"/>
        </w:tabs>
        <w:ind w:start="1276" w:hanging="284"/>
      </w:pPr>
      <w:rPr>
        <w:rFonts w:ascii="Symbol" w:hAnsi="Symbol" w:cs="Symbol" w:hint="default"/>
        <w:sz w:val="18"/>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
    <w:lvl w:ilvl="0">
      <w:start w:val="1"/>
      <w:numFmt w:val="bullet"/>
      <w:lvlText w:val=""/>
      <w:lvlJc w:val="start"/>
      <w:pPr>
        <w:tabs>
          <w:tab w:val="num" w:pos="0"/>
        </w:tabs>
        <w:ind w:start="720" w:hanging="360"/>
      </w:pPr>
      <w:rPr>
        <w:rFonts w:ascii="Wingdings" w:hAnsi="Wingdings" w:cs="Wingdings"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Wingdings" w:hAnsi="Wingdings" w:cs="Wingdings"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0"/>
  <w:defaultTabStop w:val="709"/>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link w:val="Titre1Car"/>
    <w:uiPriority w:val="9"/>
    <w:qFormat/>
    <w:pPr>
      <w:keepNext w:val="true"/>
      <w:pBdr>
        <w:top w:val="single" w:sz="8" w:space="1" w:color="CCCCCC"/>
        <w:left w:val="single" w:sz="8" w:space="1" w:color="CCCCCC"/>
        <w:bottom w:val="single" w:sz="8" w:space="1" w:color="CCCCCC"/>
        <w:right w:val="single" w:sz="8" w:space="1" w:color="CCCCCC"/>
      </w:pBdr>
      <w:shd w:val="clear" w:color="auto" w:fill="CCCCCC"/>
      <w:spacing w:lineRule="auto" w:line="240" w:before="113" w:after="0"/>
      <w:outlineLvl w:val="0"/>
    </w:pPr>
    <w:rPr>
      <w:rFonts w:ascii="Times New Roman" w:hAnsi="Times New Roman" w:eastAsia="Times New Roman" w:cs="Times New Roman"/>
      <w:b/>
      <w:bCs/>
      <w:kern w:val="2"/>
      <w:sz w:val="48"/>
      <w:szCs w:val="48"/>
      <w:lang w:eastAsia="fr-FR"/>
    </w:rPr>
  </w:style>
  <w:style w:type="paragraph" w:styleId="Heading2">
    <w:name w:val="heading 2"/>
    <w:basedOn w:val="Normal"/>
    <w:link w:val="Titre2Car"/>
    <w:uiPriority w:val="9"/>
    <w:qFormat/>
    <w:pPr>
      <w:keepNext w:val="true"/>
      <w:pBdr>
        <w:left w:val="single" w:sz="8" w:space="0" w:color="CCCCCC"/>
        <w:bottom w:val="single" w:sz="8" w:space="0" w:color="CCCCCC"/>
      </w:pBdr>
      <w:spacing w:lineRule="auto" w:line="240" w:before="227" w:after="0"/>
      <w:outlineLvl w:val="1"/>
    </w:pPr>
    <w:rPr>
      <w:rFonts w:ascii="Times New Roman" w:hAnsi="Times New Roman" w:eastAsia="Times New Roman" w:cs="Times New Roman"/>
      <w:b/>
      <w:bCs/>
      <w:sz w:val="36"/>
      <w:szCs w:val="36"/>
      <w:lang w:eastAsia="fr-FR"/>
    </w:rPr>
  </w:style>
  <w:style w:type="paragraph" w:styleId="Heading3">
    <w:name w:val="heading 3"/>
    <w:basedOn w:val="Normal"/>
    <w:link w:val="Titre3Car"/>
    <w:uiPriority w:val="9"/>
    <w:qFormat/>
    <w:pPr>
      <w:keepNext w:val="true"/>
      <w:spacing w:lineRule="auto" w:line="240" w:before="227" w:after="0"/>
      <w:ind w:firstLine="567"/>
      <w:jc w:val="both"/>
      <w:outlineLvl w:val="2"/>
    </w:pPr>
    <w:rPr>
      <w:rFonts w:ascii="Times New Roman" w:hAnsi="Times New Roman" w:eastAsia="Times New Roman" w:cs="Times New Roman"/>
      <w:b/>
      <w:bCs/>
      <w:sz w:val="27"/>
      <w:szCs w:val="27"/>
      <w:lang w:eastAsia="fr-FR"/>
    </w:rPr>
  </w:style>
  <w:style w:type="paragraph" w:styleId="Heading4">
    <w:name w:val="heading 4"/>
    <w:basedOn w:val="Normal"/>
    <w:next w:val="Normal"/>
    <w:link w:val="Titre4Car"/>
    <w:uiPriority w:val="9"/>
    <w:unhideWhenUsed/>
    <w:qFormat/>
    <w:pPr>
      <w:keepNext w:val="true"/>
      <w:pBdr>
        <w:left w:val="single" w:sz="8" w:space="0" w:color="CCCCCC"/>
        <w:bottom w:val="single" w:sz="8" w:space="0" w:color="CCCCCC"/>
      </w:pBdr>
      <w:spacing w:lineRule="auto" w:line="240" w:before="227" w:after="0"/>
      <w:outlineLvl w:val="3"/>
    </w:pPr>
    <w:rPr>
      <w:rFonts w:ascii="Marianne" w:hAnsi="Marianne" w:eastAsia="Times New Roman" w:cs="Arial"/>
      <w:b/>
      <w:bCs/>
      <w:sz w:val="20"/>
      <w:szCs w:val="20"/>
      <w:lang w:eastAsia="fr-FR"/>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Pr>
      <w:rFonts w:ascii="Times New Roman" w:hAnsi="Times New Roman" w:eastAsia="Times New Roman" w:cs="Times New Roman"/>
      <w:b/>
      <w:bCs/>
      <w:kern w:val="2"/>
      <w:sz w:val="48"/>
      <w:szCs w:val="48"/>
      <w:shd w:fill="CCCCCC" w:val="clear"/>
      <w:lang w:eastAsia="fr-FR"/>
    </w:rPr>
  </w:style>
  <w:style w:type="character" w:styleId="Titre2Car" w:customStyle="1">
    <w:name w:val="Titre 2 Car"/>
    <w:basedOn w:val="DefaultParagraphFont"/>
    <w:uiPriority w:val="9"/>
    <w:qFormat/>
    <w:rPr>
      <w:rFonts w:ascii="Times New Roman" w:hAnsi="Times New Roman" w:eastAsia="Times New Roman" w:cs="Times New Roman"/>
      <w:b/>
      <w:bCs/>
      <w:sz w:val="36"/>
      <w:szCs w:val="36"/>
      <w:lang w:eastAsia="fr-FR"/>
    </w:rPr>
  </w:style>
  <w:style w:type="character" w:styleId="Titre3Car" w:customStyle="1">
    <w:name w:val="Titre 3 Car"/>
    <w:basedOn w:val="DefaultParagraphFont"/>
    <w:uiPriority w:val="9"/>
    <w:qFormat/>
    <w:rPr>
      <w:rFonts w:ascii="Times New Roman" w:hAnsi="Times New Roman" w:eastAsia="Times New Roman" w:cs="Times New Roman"/>
      <w:b/>
      <w:bCs/>
      <w:sz w:val="27"/>
      <w:szCs w:val="27"/>
      <w:lang w:eastAsia="fr-FR"/>
    </w:rPr>
  </w:style>
  <w:style w:type="character" w:styleId="StandardCar" w:customStyle="1">
    <w:name w:val="Standard Car"/>
    <w:basedOn w:val="DefaultParagraphFont"/>
    <w:link w:val="Standard"/>
    <w:qFormat/>
    <w:rPr>
      <w:rFonts w:ascii="Liberation Serif" w:hAnsi="Liberation Serif" w:eastAsia="SimSun" w:cs="Mangal"/>
      <w:kern w:val="2"/>
      <w:sz w:val="24"/>
      <w:szCs w:val="24"/>
      <w:lang w:eastAsia="zh-CN" w:bidi="hi-IN"/>
    </w:rPr>
  </w:style>
  <w:style w:type="character" w:styleId="Hyperlink">
    <w:name w:val="Hyperlink"/>
    <w:basedOn w:val="DefaultParagraphFont"/>
    <w:uiPriority w:val="99"/>
    <w:unhideWhenUsed/>
    <w:rPr>
      <w:color w:themeColor="hyperlink" w:val="0563C1"/>
      <w:u w:val="single"/>
    </w:rPr>
  </w:style>
  <w:style w:type="character" w:styleId="Mentionnonrsolue1" w:customStyle="1">
    <w:name w:val="Mention non résolue1"/>
    <w:basedOn w:val="DefaultParagraphFont"/>
    <w:uiPriority w:val="99"/>
    <w:semiHidden/>
    <w:unhideWhenUsed/>
    <w:qFormat/>
    <w:rPr>
      <w:color w:val="605E5C"/>
      <w:shd w:fill="E1DFDD" w:val="clear"/>
    </w:rPr>
  </w:style>
  <w:style w:type="character" w:styleId="Comment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uiPriority w:val="99"/>
    <w:qFormat/>
    <w:rPr>
      <w:sz w:val="20"/>
      <w:szCs w:val="20"/>
    </w:rPr>
  </w:style>
  <w:style w:type="character" w:styleId="ObjetducommentaireCar" w:customStyle="1">
    <w:name w:val="Objet du commentaire Car"/>
    <w:basedOn w:val="CommentaireCar"/>
    <w:link w:val="annotationsubject"/>
    <w:uiPriority w:val="99"/>
    <w:semiHidden/>
    <w:qFormat/>
    <w:rPr>
      <w:b/>
      <w:bCs/>
      <w:sz w:val="20"/>
      <w:szCs w:val="20"/>
    </w:rPr>
  </w:style>
  <w:style w:type="character" w:styleId="Titre4Car" w:customStyle="1">
    <w:name w:val="Titre 4 Car"/>
    <w:basedOn w:val="DefaultParagraphFont"/>
    <w:uiPriority w:val="9"/>
    <w:qFormat/>
    <w:rPr>
      <w:rFonts w:ascii="Marianne" w:hAnsi="Marianne" w:eastAsia="Times New Roman" w:cs="Arial"/>
      <w:b/>
      <w:bCs/>
      <w:sz w:val="20"/>
      <w:szCs w:val="20"/>
      <w:lang w:eastAsia="fr-FR"/>
    </w:rPr>
  </w:style>
  <w:style w:type="character" w:styleId="CorpsdetexteCar" w:customStyle="1">
    <w:name w:val="Corps de texte Car"/>
    <w:basedOn w:val="DefaultParagraphFont"/>
    <w:uiPriority w:val="99"/>
    <w:qFormat/>
    <w:rPr>
      <w:rFonts w:ascii="Arial" w:hAnsi="Arial" w:eastAsia="Times New Roman" w:cs="Arial"/>
      <w:sz w:val="20"/>
      <w:szCs w:val="20"/>
      <w:lang w:eastAsia="fr-FR"/>
    </w:rPr>
  </w:style>
  <w:style w:type="character" w:styleId="ParagraphedelisteCar" w:customStyle="1">
    <w:name w:val="Paragraphe de liste Car"/>
    <w:link w:val="ListParagraph"/>
    <w:uiPriority w:val="34"/>
    <w:qFormat/>
    <w:locked/>
    <w:rPr/>
  </w:style>
  <w:style w:type="character" w:styleId="TextedebullesCar" w:customStyle="1">
    <w:name w:val="Texte de bulles Car"/>
    <w:basedOn w:val="DefaultParagraphFont"/>
    <w:link w:val="BalloonText"/>
    <w:uiPriority w:val="99"/>
    <w:semiHidden/>
    <w:qFormat/>
    <w:rPr>
      <w:rFonts w:ascii="Segoe UI" w:hAnsi="Segoe UI" w:cs="Segoe UI"/>
      <w:sz w:val="18"/>
      <w:szCs w:val="18"/>
    </w:rPr>
  </w:style>
  <w:style w:type="character" w:styleId="cf01" w:customStyle="1">
    <w:name w:val="cf01"/>
    <w:basedOn w:val="DefaultParagraphFont"/>
    <w:qFormat/>
    <w:rPr>
      <w:rFonts w:ascii="Segoe UI" w:hAnsi="Segoe UI" w:cs="Segoe UI"/>
      <w:sz w:val="18"/>
      <w:szCs w:val="18"/>
    </w:rPr>
  </w:style>
  <w:style w:type="character" w:styleId="En-tteCar" w:customStyle="1">
    <w:name w:val="En-tête Car"/>
    <w:basedOn w:val="DefaultParagraphFont"/>
    <w:uiPriority w:val="99"/>
    <w:qFormat/>
    <w:rPr/>
  </w:style>
  <w:style w:type="character" w:styleId="PieddepageCar" w:customStyle="1">
    <w:name w:val="Pied de page Car"/>
    <w:basedOn w:val="DefaultParagraphFont"/>
    <w:uiPriority w:val="99"/>
    <w:qFormat/>
    <w:rPr/>
  </w:style>
  <w:style w:type="character" w:styleId="Sautdindexuser">
    <w:name w:val="Saut d'index (user)"/>
    <w:qFormat/>
    <w:rPr/>
  </w:style>
  <w:style w:type="character" w:styleId="Sautdindex">
    <w:name w:val="Saut d'index"/>
    <w:qFormat/>
    <w:rPr/>
  </w:style>
  <w:style w:type="character" w:styleId="Policepardfaut">
    <w:name w:val="Police par défaut"/>
    <w:qFormat/>
    <w:rPr/>
  </w:style>
  <w:style w:type="character" w:styleId="Puces">
    <w:name w:val="Puces"/>
    <w:qFormat/>
    <w:rPr>
      <w:rFonts w:ascii="OpenSymbol" w:hAnsi="OpenSymbol" w:eastAsia="OpenSymbol" w:cs="OpenSymbol"/>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link w:val="CorpsdetexteCar"/>
    <w:uiPriority w:val="99"/>
    <w:pPr>
      <w:keepLines/>
      <w:spacing w:lineRule="auto" w:line="240" w:before="0" w:after="0"/>
      <w:ind w:hanging="0" w:start="425" w:end="142"/>
      <w:jc w:val="both"/>
    </w:pPr>
    <w:rPr>
      <w:rFonts w:ascii="Arial" w:hAnsi="Arial" w:eastAsia="Times New Roman" w:cs="Arial"/>
      <w:sz w:val="20"/>
      <w:szCs w:val="20"/>
      <w:lang w:eastAsia="fr-FR"/>
    </w:rPr>
  </w:style>
  <w:style w:type="paragraph" w:styleId="List">
    <w:name w:val="List"/>
    <w:basedOn w:val="Normal"/>
    <w:pPr>
      <w:numPr>
        <w:ilvl w:val="0"/>
        <w:numId w:val="1"/>
      </w:numPr>
      <w:spacing w:lineRule="auto" w:line="240" w:before="0" w:after="0"/>
      <w:ind w:hanging="0" w:end="539"/>
      <w:jc w:val="both"/>
    </w:pPr>
    <w:rPr>
      <w:rFonts w:ascii="Arial" w:hAnsi="Arial" w:eastAsia="Times New Roman" w:cs="Times New Roman"/>
      <w:sz w:val="20"/>
      <w:szCs w:val="20"/>
      <w:lang w:eastAsia="fr-FR"/>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western" w:customStyle="1">
    <w:name w:val="western"/>
    <w:basedOn w:val="Normal"/>
    <w:qFormat/>
    <w:pPr>
      <w:spacing w:lineRule="auto" w:line="240" w:before="57" w:after="0"/>
      <w:jc w:val="both"/>
    </w:pPr>
    <w:rPr>
      <w:rFonts w:ascii="Arial" w:hAnsi="Arial" w:eastAsia="Times New Roman" w:cs="Arial"/>
      <w:sz w:val="20"/>
      <w:szCs w:val="20"/>
      <w:lang w:eastAsia="fr-FR"/>
    </w:rPr>
  </w:style>
  <w:style w:type="paragraph" w:styleId="western1" w:customStyle="1">
    <w:name w:val="western1"/>
    <w:basedOn w:val="Normal"/>
    <w:qFormat/>
    <w:pPr>
      <w:spacing w:lineRule="auto" w:line="240" w:before="57" w:after="0"/>
      <w:jc w:val="both"/>
    </w:pPr>
    <w:rPr>
      <w:rFonts w:ascii="Arial" w:hAnsi="Arial" w:eastAsia="Times New Roman" w:cs="Arial"/>
      <w:sz w:val="16"/>
      <w:szCs w:val="16"/>
      <w:lang w:eastAsia="fr-FR"/>
    </w:rPr>
  </w:style>
  <w:style w:type="paragraph" w:styleId="Standard" w:customStyle="1">
    <w:name w:val="Standard"/>
    <w:link w:val="StandardCar"/>
    <w:qFormat/>
    <w:pPr>
      <w:widowControl w:val="false"/>
      <w:suppressAutoHyphens w:val="true"/>
      <w:bidi w:val="0"/>
      <w:spacing w:lineRule="auto" w:line="240" w:before="0" w:after="0"/>
      <w:jc w:val="start"/>
      <w:textAlignment w:val="baseline"/>
    </w:pPr>
    <w:rPr>
      <w:rFonts w:ascii="Liberation Serif" w:hAnsi="Liberation Serif" w:eastAsia="SimSun" w:cs="Mangal"/>
      <w:color w:val="auto"/>
      <w:kern w:val="2"/>
      <w:sz w:val="24"/>
      <w:szCs w:val="24"/>
      <w:lang w:val="fr-FR" w:eastAsia="zh-CN" w:bidi="hi-IN"/>
    </w:rPr>
  </w:style>
  <w:style w:type="paragraph" w:styleId="IndexHeading">
    <w:name w:val="index heading"/>
    <w:basedOn w:val="Titreuser"/>
    <w:pPr/>
    <w:rPr/>
  </w:style>
  <w:style w:type="paragraph" w:styleId="TOCHeading">
    <w:name w:val="TOC Heading"/>
    <w:basedOn w:val="Heading1"/>
    <w:next w:val="Normal"/>
    <w:uiPriority w:val="39"/>
    <w:unhideWhenUsed/>
    <w:qFormat/>
    <w:pPr>
      <w:keepLines/>
      <w:pBdr>
        <w:top w:val="nil"/>
        <w:left w:val="nil"/>
        <w:bottom w:val="nil"/>
        <w:right w:val="nil"/>
      </w:pBdr>
      <w:shd w:val="clear" w:color="auto" w:fill="auto"/>
      <w:spacing w:lineRule="auto" w:line="259" w:before="240" w:after="0"/>
      <w:outlineLvl w:val="9"/>
    </w:pPr>
    <w:rPr>
      <w:rFonts w:ascii="Calibri Light" w:hAnsi="Calibri Light" w:eastAsia="" w:cs="" w:asciiTheme="majorHAnsi" w:cstheme="majorBidi" w:eastAsiaTheme="majorEastAsia" w:hAnsiTheme="majorHAnsi"/>
      <w:b w:val="false"/>
      <w:bCs w:val="false"/>
      <w:color w:themeColor="accent1" w:themeShade="bf" w:val="2F5496"/>
      <w:kern w:val="0"/>
      <w:sz w:val="32"/>
      <w:szCs w:val="32"/>
    </w:rPr>
  </w:style>
  <w:style w:type="paragraph" w:styleId="TOC1">
    <w:name w:val="toc 1"/>
    <w:basedOn w:val="Normal"/>
    <w:next w:val="Normal"/>
    <w:autoRedefine/>
    <w:uiPriority w:val="39"/>
    <w:unhideWhenUsed/>
    <w:pPr>
      <w:spacing w:before="0" w:after="100"/>
    </w:pPr>
    <w:rPr/>
  </w:style>
  <w:style w:type="paragraph" w:styleId="TOC2">
    <w:name w:val="toc 2"/>
    <w:basedOn w:val="Normal"/>
    <w:next w:val="Normal"/>
    <w:autoRedefine/>
    <w:uiPriority w:val="39"/>
    <w:unhideWhenUsed/>
    <w:pPr>
      <w:tabs>
        <w:tab w:val="clear" w:pos="709"/>
        <w:tab w:val="right" w:pos="9913" w:leader="dot"/>
      </w:tabs>
      <w:spacing w:before="0" w:after="100"/>
      <w:ind w:hanging="0" w:start="220"/>
    </w:pPr>
    <w:rPr>
      <w:rFonts w:ascii="Marianne" w:hAnsi="Marianne" w:cs="Arial"/>
      <w:b/>
      <w:bCs/>
    </w:rPr>
  </w:style>
  <w:style w:type="paragraph" w:styleId="TOC3">
    <w:name w:val="toc 3"/>
    <w:basedOn w:val="Normal"/>
    <w:next w:val="Normal"/>
    <w:autoRedefine/>
    <w:uiPriority w:val="39"/>
    <w:unhideWhenUsed/>
    <w:pPr>
      <w:spacing w:before="0" w:after="100"/>
      <w:ind w:hanging="0" w:start="440"/>
    </w:pPr>
    <w:rPr/>
  </w:style>
  <w:style w:type="paragraph" w:styleId="CommentText">
    <w:name w:val="annotation text"/>
    <w:basedOn w:val="Normal"/>
    <w:link w:val="CommentaireCar"/>
    <w:uiPriority w:val="99"/>
    <w:unhideWhenUsed/>
    <w:qFormat/>
    <w:pPr>
      <w:spacing w:lineRule="auto" w:line="240"/>
    </w:pPr>
    <w:rPr>
      <w:sz w:val="20"/>
      <w:szCs w:val="20"/>
    </w:rPr>
  </w:style>
  <w:style w:type="paragraph" w:styleId="annotationsubject">
    <w:name w:val="annotation subject"/>
    <w:basedOn w:val="CommentText"/>
    <w:next w:val="CommentText"/>
    <w:link w:val="ObjetducommentaireCar"/>
    <w:uiPriority w:val="99"/>
    <w:semiHidden/>
    <w:unhideWhenUsed/>
    <w:qFormat/>
    <w:pPr/>
    <w:rPr>
      <w:b/>
      <w:bCs/>
    </w:rPr>
  </w:style>
  <w:style w:type="paragraph" w:styleId="ListParagraph">
    <w:name w:val="List Paragraph"/>
    <w:basedOn w:val="Normal"/>
    <w:link w:val="ParagraphedelisteCar"/>
    <w:uiPriority w:val="34"/>
    <w:qFormat/>
    <w:pPr>
      <w:spacing w:before="0" w:after="160"/>
      <w:ind w:hanging="0" w:start="720"/>
      <w:contextualSpacing/>
    </w:pPr>
    <w:rPr/>
  </w:style>
  <w:style w:type="paragraph" w:styleId="Default" w:customStyle="1">
    <w:name w:val="Default"/>
    <w:qFormat/>
    <w:pPr>
      <w:widowControl/>
      <w:suppressAutoHyphens w:val="true"/>
      <w:bidi w:val="0"/>
      <w:spacing w:lineRule="auto" w:line="240" w:before="0" w:after="0"/>
      <w:jc w:val="start"/>
    </w:pPr>
    <w:rPr>
      <w:rFonts w:ascii="Times New Roman" w:hAnsi="Times New Roman" w:eastAsia="Calibri" w:cs="Times New Roman"/>
      <w:color w:val="000000"/>
      <w:kern w:val="0"/>
      <w:sz w:val="24"/>
      <w:szCs w:val="24"/>
      <w:lang w:val="fr-FR" w:eastAsia="en-US" w:bidi="ar-SA"/>
    </w:rPr>
  </w:style>
  <w:style w:type="paragraph" w:styleId="BalloonText">
    <w:name w:val="Balloon Text"/>
    <w:basedOn w:val="Normal"/>
    <w:link w:val="TextedebullesCar"/>
    <w:uiPriority w:val="99"/>
    <w:semiHidden/>
    <w:unhideWhenUsed/>
    <w:qFormat/>
    <w:pPr>
      <w:spacing w:lineRule="auto" w:line="240" w:before="0" w:after="0"/>
    </w:pPr>
    <w:rPr>
      <w:rFonts w:ascii="Segoe UI" w:hAnsi="Segoe UI" w:cs="Segoe UI"/>
      <w:sz w:val="18"/>
      <w:szCs w:val="18"/>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pPr>
      <w:tabs>
        <w:tab w:val="clear" w:pos="709"/>
        <w:tab w:val="center" w:pos="4536" w:leader="none"/>
        <w:tab w:val="right" w:pos="9072" w:leader="none"/>
      </w:tabs>
      <w:spacing w:lineRule="auto" w:line="240" w:before="0" w:after="0"/>
    </w:pPr>
    <w:rPr/>
  </w:style>
  <w:style w:type="paragraph" w:styleId="Footer">
    <w:name w:val="footer"/>
    <w:basedOn w:val="Normal"/>
    <w:link w:val="PieddepageCar"/>
    <w:unhideWhenUsed/>
    <w:pPr>
      <w:tabs>
        <w:tab w:val="clear" w:pos="709"/>
        <w:tab w:val="center" w:pos="4536" w:leader="none"/>
        <w:tab w:val="right" w:pos="9072" w:leader="none"/>
      </w:tabs>
      <w:spacing w:lineRule="auto" w:line="240" w:before="0" w:after="0"/>
    </w:pPr>
    <w:rPr/>
  </w:style>
  <w:style w:type="paragraph" w:styleId="Contenudecadre">
    <w:name w:val="Contenu de cadre"/>
    <w:basedOn w:val="Normal"/>
    <w:qFormat/>
    <w:pPr/>
    <w:rPr/>
  </w:style>
  <w:style w:type="paragraph" w:styleId="Normal1">
    <w:name w:val="Normal1"/>
    <w:qFormat/>
    <w:pPr>
      <w:widowControl/>
      <w:suppressAutoHyphens w:val="true"/>
      <w:overflowPunct w:val="false"/>
      <w:bidi w:val="0"/>
      <w:spacing w:lineRule="exact" w:line="320" w:before="120" w:after="240"/>
      <w:jc w:val="both"/>
    </w:pPr>
    <w:rPr>
      <w:rFonts w:ascii="Arial" w:hAnsi="Arial" w:eastAsia="Arial" w:cs="Arial"/>
      <w:color w:val="00000A"/>
      <w:kern w:val="0"/>
      <w:sz w:val="20"/>
      <w:szCs w:val="20"/>
      <w:lang w:val="fr-FR" w:eastAsia="en-US" w:bidi="ar-SA"/>
    </w:rPr>
  </w:style>
  <w:style w:type="paragraph" w:styleId="Contenudetableau">
    <w:name w:val="Contenu de tableau"/>
    <w:basedOn w:val="Normal"/>
    <w:qFormat/>
    <w:pPr>
      <w:suppressLineNumbers/>
    </w:pPr>
    <w:rPr>
      <w:sz w:val="17"/>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BCE49-490B-4E23-94EB-63E27F5B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1029</Words>
  <Characters>5700</Characters>
  <CharactersWithSpaces>6726</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